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9B3" w:rsidRDefault="0044601B">
      <w:pPr>
        <w:pStyle w:val="Heading2"/>
        <w:spacing w:before="0" w:after="0" w:line="480" w:lineRule="auto"/>
        <w:ind w:left="0" w:firstLine="0"/>
        <w:jc w:val="both"/>
        <w:rPr>
          <w:b/>
          <w:bCs/>
          <w:sz w:val="24"/>
          <w:szCs w:val="24"/>
        </w:rPr>
      </w:pPr>
      <w:bookmarkStart w:id="0" w:name="_RefHeading___Toc451443517"/>
      <w:bookmarkStart w:id="1" w:name="_GoBack"/>
      <w:bookmarkEnd w:id="1"/>
      <w:r>
        <w:rPr>
          <w:b/>
          <w:bCs/>
          <w:sz w:val="24"/>
          <w:szCs w:val="24"/>
        </w:rPr>
        <w:t xml:space="preserve">FROM ECHO’S POINT OF VIEW </w:t>
      </w:r>
    </w:p>
    <w:p w:rsidR="00C809B3" w:rsidRDefault="0044601B">
      <w:pPr>
        <w:pStyle w:val="Heading2"/>
        <w:spacing w:before="0" w:after="0" w:line="480" w:lineRule="auto"/>
        <w:ind w:left="0" w:firstLine="0"/>
        <w:jc w:val="both"/>
        <w:rPr>
          <w:sz w:val="24"/>
          <w:szCs w:val="24"/>
        </w:rPr>
      </w:pPr>
      <w:r>
        <w:rPr>
          <w:sz w:val="24"/>
          <w:szCs w:val="24"/>
        </w:rPr>
        <w:t>[</w:t>
      </w:r>
      <w:proofErr w:type="gramStart"/>
      <w:r>
        <w:rPr>
          <w:sz w:val="24"/>
          <w:szCs w:val="24"/>
        </w:rPr>
        <w:t>excerpt</w:t>
      </w:r>
      <w:proofErr w:type="gramEnd"/>
      <w:r>
        <w:rPr>
          <w:sz w:val="24"/>
          <w:szCs w:val="24"/>
        </w:rPr>
        <w:t xml:space="preserve"> from: Ana Peraica: Culture of the Selfie, INC, Amsterdam, 2017: 44-55]  </w:t>
      </w:r>
    </w:p>
    <w:p w:rsidR="00C809B3" w:rsidRDefault="0044601B">
      <w:pPr>
        <w:pStyle w:val="Quote2"/>
        <w:shd w:val="clear" w:color="auto" w:fill="FFFFFF"/>
        <w:tabs>
          <w:tab w:val="left" w:pos="2160"/>
        </w:tabs>
        <w:ind w:firstLine="0"/>
        <w:rPr>
          <w:i w:val="0"/>
          <w:iCs w:val="0"/>
          <w:sz w:val="24"/>
          <w:szCs w:val="24"/>
          <w:shd w:val="clear" w:color="auto" w:fill="FFFFFF"/>
        </w:rPr>
      </w:pPr>
      <w:r>
        <w:rPr>
          <w:i w:val="0"/>
          <w:iCs w:val="0"/>
          <w:sz w:val="24"/>
          <w:szCs w:val="24"/>
        </w:rPr>
        <w:t>“But I never</w:t>
      </w:r>
      <w:r>
        <w:rPr>
          <w:i w:val="0"/>
          <w:iCs w:val="0"/>
          <w:sz w:val="24"/>
          <w:szCs w:val="24"/>
        </w:rPr>
        <w:t xml:space="preserve"> looked like that!” – How do you know? What is the “you” you might or might not look like? Where do you find it – by which morphological or expressive calibration? Where is your authentic body? You are the only one who can never see yourself except as an i</w:t>
      </w:r>
      <w:r>
        <w:rPr>
          <w:i w:val="0"/>
          <w:iCs w:val="0"/>
          <w:sz w:val="24"/>
          <w:szCs w:val="24"/>
        </w:rPr>
        <w:t>mage: you never see your eyes unless they are dulled by the gaze that rests upon the mirror or the lens (I am interested in seeing my eyes only when they look at you): even and especially for your own body, you are condemned to the repertoire of its images</w:t>
      </w:r>
      <w:r>
        <w:rPr>
          <w:i w:val="0"/>
          <w:iCs w:val="0"/>
          <w:sz w:val="24"/>
          <w:szCs w:val="24"/>
        </w:rPr>
        <w:t>.</w:t>
      </w:r>
      <w:r>
        <w:rPr>
          <w:i w:val="0"/>
          <w:iCs w:val="0"/>
          <w:sz w:val="24"/>
          <w:szCs w:val="24"/>
          <w:shd w:val="clear" w:color="auto" w:fill="FFFFFF"/>
          <w:vertAlign w:val="superscript"/>
        </w:rPr>
        <w:footnoteReference w:id="2"/>
      </w:r>
    </w:p>
    <w:p w:rsidR="00C809B3" w:rsidRDefault="00C809B3">
      <w:pPr>
        <w:shd w:val="clear" w:color="auto" w:fill="FFFFFF"/>
        <w:spacing w:after="0" w:line="480" w:lineRule="auto"/>
        <w:jc w:val="both"/>
        <w:rPr>
          <w:b/>
          <w:bCs/>
          <w:sz w:val="24"/>
          <w:szCs w:val="24"/>
          <w:shd w:val="clear" w:color="auto" w:fill="FFFFFF"/>
        </w:rPr>
      </w:pPr>
    </w:p>
    <w:p w:rsidR="00C809B3" w:rsidRDefault="0044601B">
      <w:pPr>
        <w:pStyle w:val="Heading3"/>
        <w:rPr>
          <w:shd w:val="clear" w:color="auto" w:fill="FFFFFF"/>
        </w:rPr>
      </w:pPr>
      <w:r>
        <w:t xml:space="preserve">Other in the Mirror </w:t>
      </w:r>
    </w:p>
    <w:p w:rsidR="00C809B3" w:rsidRDefault="0044601B">
      <w:pPr>
        <w:pStyle w:val="Normal2"/>
        <w:shd w:val="clear" w:color="auto" w:fill="FFFFFF"/>
        <w:spacing w:line="480" w:lineRule="auto"/>
        <w:ind w:firstLine="0"/>
        <w:rPr>
          <w:sz w:val="24"/>
          <w:szCs w:val="24"/>
        </w:rPr>
      </w:pPr>
      <w:r>
        <w:rPr>
          <w:sz w:val="24"/>
          <w:szCs w:val="24"/>
        </w:rPr>
        <w:t xml:space="preserve">The most demanding thing for Narcissus, who runs away from himself, </w:t>
      </w:r>
      <w:proofErr w:type="gramStart"/>
      <w:r>
        <w:rPr>
          <w:sz w:val="24"/>
          <w:szCs w:val="24"/>
        </w:rPr>
        <w:t>is knowing</w:t>
      </w:r>
      <w:proofErr w:type="gramEnd"/>
      <w:r>
        <w:rPr>
          <w:sz w:val="24"/>
          <w:szCs w:val="24"/>
        </w:rPr>
        <w:t xml:space="preserve"> the self. Sabine Melchoir-Bonnet notes: </w:t>
      </w:r>
    </w:p>
    <w:p w:rsidR="00C809B3" w:rsidRDefault="0044601B">
      <w:pPr>
        <w:pStyle w:val="Blockquote"/>
        <w:spacing w:before="0" w:after="0" w:line="240" w:lineRule="auto"/>
        <w:ind w:left="708"/>
        <w:rPr>
          <w:i/>
          <w:iCs/>
        </w:rPr>
      </w:pPr>
      <w:r>
        <w:t xml:space="preserve">To see oneself in the mirror, to identify oneself, requires a mental operation by which the subject is capable </w:t>
      </w:r>
      <w:r>
        <w:t>of objectivising himself, of separating what is outside from what is inside. This operation can be successful if the subject recognizes the</w:t>
      </w:r>
      <w:r>
        <w:rPr>
          <w:i/>
          <w:iCs/>
        </w:rPr>
        <w:t xml:space="preserve"> </w:t>
      </w:r>
      <w:r>
        <w:t>reflection as his own likeness and say, “I am the other of that other”.</w:t>
      </w:r>
      <w:r>
        <w:rPr>
          <w:vertAlign w:val="superscript"/>
        </w:rPr>
        <w:footnoteReference w:id="3"/>
      </w:r>
      <w:r>
        <w:rPr>
          <w:i/>
          <w:iCs/>
        </w:rPr>
        <w:t xml:space="preserve"> </w:t>
      </w:r>
    </w:p>
    <w:p w:rsidR="00C809B3" w:rsidRDefault="00C809B3">
      <w:pPr>
        <w:pStyle w:val="Blockquote"/>
        <w:spacing w:before="0" w:after="0" w:line="480" w:lineRule="auto"/>
        <w:ind w:left="0"/>
        <w:rPr>
          <w:i/>
          <w:iCs/>
        </w:rPr>
      </w:pPr>
    </w:p>
    <w:p w:rsidR="00C809B3" w:rsidRDefault="0044601B">
      <w:pPr>
        <w:pStyle w:val="Normal2"/>
        <w:shd w:val="clear" w:color="auto" w:fill="FFFFFF"/>
        <w:spacing w:line="480" w:lineRule="auto"/>
        <w:ind w:firstLine="0"/>
        <w:rPr>
          <w:sz w:val="24"/>
          <w:szCs w:val="24"/>
          <w:shd w:val="clear" w:color="auto" w:fill="FFFFFF"/>
        </w:rPr>
      </w:pPr>
      <w:r>
        <w:rPr>
          <w:sz w:val="24"/>
          <w:szCs w:val="24"/>
        </w:rPr>
        <w:t xml:space="preserve">And in this conclusion it is Narcissus </w:t>
      </w:r>
      <w:r>
        <w:rPr>
          <w:sz w:val="24"/>
          <w:szCs w:val="24"/>
        </w:rPr>
        <w:t>who fails, not recognizing the image as other, neither recognizing himself in that other.</w:t>
      </w:r>
      <w:r>
        <w:rPr>
          <w:sz w:val="24"/>
          <w:szCs w:val="24"/>
          <w:vertAlign w:val="superscript"/>
        </w:rPr>
        <w:footnoteReference w:id="4"/>
      </w:r>
      <w:r>
        <w:rPr>
          <w:sz w:val="24"/>
          <w:szCs w:val="24"/>
        </w:rPr>
        <w:t xml:space="preserve"> </w:t>
      </w:r>
    </w:p>
    <w:p w:rsidR="00C809B3" w:rsidRDefault="00C809B3">
      <w:pPr>
        <w:shd w:val="clear" w:color="auto" w:fill="FFFFFF"/>
        <w:spacing w:after="0" w:line="480" w:lineRule="auto"/>
        <w:jc w:val="both"/>
        <w:rPr>
          <w:sz w:val="24"/>
          <w:szCs w:val="24"/>
          <w:shd w:val="clear" w:color="auto" w:fill="FFFFFF"/>
        </w:rPr>
      </w:pPr>
    </w:p>
    <w:p w:rsidR="00C809B3" w:rsidRDefault="0044601B">
      <w:pPr>
        <w:shd w:val="clear" w:color="auto" w:fill="FFFFFF"/>
        <w:spacing w:after="0" w:line="480" w:lineRule="auto"/>
        <w:jc w:val="both"/>
        <w:rPr>
          <w:sz w:val="24"/>
          <w:szCs w:val="24"/>
        </w:rPr>
      </w:pPr>
      <w:r>
        <w:rPr>
          <w:sz w:val="24"/>
          <w:szCs w:val="24"/>
          <w:shd w:val="clear" w:color="auto" w:fill="FFFFFF"/>
        </w:rPr>
        <w:t>Contrary to McLuhan, who thought Narcissus exiles his own body into the image, abandoning his own body numbed, Julia Kristeva analyzed how he withdraws into the mo</w:t>
      </w:r>
      <w:r>
        <w:rPr>
          <w:sz w:val="24"/>
          <w:szCs w:val="24"/>
          <w:shd w:val="clear" w:color="auto" w:fill="FFFFFF"/>
        </w:rPr>
        <w:t>st secure place, in his self-sufficient heaven.</w:t>
      </w:r>
      <w:r>
        <w:rPr>
          <w:sz w:val="24"/>
          <w:szCs w:val="24"/>
          <w:shd w:val="clear" w:color="auto" w:fill="FFFFFF"/>
          <w:vertAlign w:val="superscript"/>
        </w:rPr>
        <w:footnoteReference w:id="5"/>
      </w:r>
      <w:r>
        <w:rPr>
          <w:sz w:val="24"/>
          <w:szCs w:val="24"/>
          <w:shd w:val="clear" w:color="auto" w:fill="FFFFFF"/>
        </w:rPr>
        <w:t xml:space="preserve"> Kristeva states the sign of narcissistic crisis is rather the abjection caused by contradictory causes; too much of strictness on the part of the </w:t>
      </w:r>
      <w:proofErr w:type="gramStart"/>
      <w:r>
        <w:rPr>
          <w:sz w:val="24"/>
          <w:szCs w:val="24"/>
          <w:shd w:val="clear" w:color="auto" w:fill="FFFFFF"/>
        </w:rPr>
        <w:t>Other</w:t>
      </w:r>
      <w:proofErr w:type="gramEnd"/>
      <w:r>
        <w:rPr>
          <w:sz w:val="24"/>
          <w:szCs w:val="24"/>
          <w:shd w:val="clear" w:color="auto" w:fill="FFFFFF"/>
        </w:rPr>
        <w:t xml:space="preserve"> or lapse of the Other.</w:t>
      </w:r>
      <w:r>
        <w:rPr>
          <w:sz w:val="24"/>
          <w:szCs w:val="24"/>
          <w:shd w:val="clear" w:color="auto" w:fill="FFFFFF"/>
          <w:vertAlign w:val="superscript"/>
        </w:rPr>
        <w:footnoteReference w:id="6"/>
      </w:r>
      <w:r>
        <w:rPr>
          <w:sz w:val="24"/>
          <w:szCs w:val="24"/>
          <w:shd w:val="clear" w:color="auto" w:fill="FFFFFF"/>
        </w:rPr>
        <w:t xml:space="preserve"> This withdrawal is not a comple</w:t>
      </w:r>
      <w:r>
        <w:rPr>
          <w:sz w:val="24"/>
          <w:szCs w:val="24"/>
          <w:shd w:val="clear" w:color="auto" w:fill="FFFFFF"/>
        </w:rPr>
        <w:t>te isolation but a quest for a different kind of understanding.</w:t>
      </w:r>
      <w:r>
        <w:rPr>
          <w:sz w:val="24"/>
          <w:szCs w:val="24"/>
          <w:shd w:val="clear" w:color="auto" w:fill="FFFFFF"/>
          <w:vertAlign w:val="superscript"/>
        </w:rPr>
        <w:footnoteReference w:id="7"/>
      </w:r>
      <w:r>
        <w:rPr>
          <w:sz w:val="24"/>
          <w:szCs w:val="24"/>
          <w:shd w:val="clear" w:color="auto" w:fill="FFFFFF"/>
        </w:rPr>
        <w:t xml:space="preserve"> Turning to oneself can indicate a catatonic apathy of indifference towards the outside, a certain closure of experience, or a socio-pathological passive aggression of withdrawal before attack</w:t>
      </w:r>
      <w:r>
        <w:rPr>
          <w:sz w:val="24"/>
          <w:szCs w:val="24"/>
          <w:shd w:val="clear" w:color="auto" w:fill="FFFFFF"/>
        </w:rPr>
        <w:t xml:space="preserve">ing. </w:t>
      </w:r>
    </w:p>
    <w:p w:rsidR="00C809B3" w:rsidRDefault="00C809B3">
      <w:pPr>
        <w:pStyle w:val="BodyText"/>
        <w:spacing w:after="0" w:line="480" w:lineRule="auto"/>
        <w:jc w:val="both"/>
        <w:rPr>
          <w:sz w:val="24"/>
          <w:szCs w:val="24"/>
        </w:rPr>
      </w:pPr>
    </w:p>
    <w:p w:rsidR="00C809B3" w:rsidRDefault="0044601B">
      <w:pPr>
        <w:spacing w:after="0" w:line="480" w:lineRule="auto"/>
        <w:jc w:val="both"/>
        <w:rPr>
          <w:i/>
          <w:iCs/>
          <w:sz w:val="24"/>
          <w:szCs w:val="24"/>
          <w:shd w:val="clear" w:color="auto" w:fill="FFFFFF"/>
        </w:rPr>
      </w:pPr>
      <w:r>
        <w:rPr>
          <w:sz w:val="24"/>
          <w:szCs w:val="24"/>
          <w:shd w:val="clear" w:color="auto" w:fill="FFFFFF"/>
        </w:rPr>
        <w:t xml:space="preserve">In opposition to the above-mentioned subjectivist and idealist position of Kristeva based on an inner mirroring, Derrida, in the text accompanying the show </w:t>
      </w:r>
      <w:r>
        <w:rPr>
          <w:i/>
          <w:iCs/>
          <w:sz w:val="24"/>
          <w:szCs w:val="24"/>
          <w:shd w:val="clear" w:color="auto" w:fill="FFFFFF"/>
        </w:rPr>
        <w:t>Memoirs of the Blind</w:t>
      </w:r>
      <w:r>
        <w:rPr>
          <w:sz w:val="24"/>
          <w:szCs w:val="24"/>
          <w:shd w:val="clear" w:color="auto" w:fill="FFFFFF"/>
        </w:rPr>
        <w:t>, provides a materialist reading of the genre of the self-portrait, denyi</w:t>
      </w:r>
      <w:r>
        <w:rPr>
          <w:sz w:val="24"/>
          <w:szCs w:val="24"/>
          <w:shd w:val="clear" w:color="auto" w:fill="FFFFFF"/>
        </w:rPr>
        <w:t>ng the idea of self-knowing via the image.</w:t>
      </w:r>
      <w:r>
        <w:rPr>
          <w:sz w:val="24"/>
          <w:szCs w:val="24"/>
          <w:shd w:val="clear" w:color="auto" w:fill="FFFFFF"/>
          <w:vertAlign w:val="superscript"/>
        </w:rPr>
        <w:footnoteReference w:id="8"/>
      </w:r>
      <w:r>
        <w:rPr>
          <w:sz w:val="24"/>
          <w:szCs w:val="24"/>
          <w:shd w:val="clear" w:color="auto" w:fill="FFFFFF"/>
          <w:vertAlign w:val="superscript"/>
        </w:rPr>
        <w:t xml:space="preserve"> </w:t>
      </w:r>
      <w:r>
        <w:rPr>
          <w:sz w:val="24"/>
          <w:szCs w:val="24"/>
          <w:shd w:val="clear" w:color="auto" w:fill="FFFFFF"/>
        </w:rPr>
        <w:t>Analyzing the paradoxical theme in the discourse of blindness, Derrida focuses on the self-portrait as a mere self-picture, not a self-image.</w:t>
      </w:r>
      <w:r>
        <w:rPr>
          <w:sz w:val="24"/>
          <w:szCs w:val="24"/>
          <w:shd w:val="clear" w:color="auto" w:fill="FFFFFF"/>
          <w:vertAlign w:val="superscript"/>
        </w:rPr>
        <w:footnoteReference w:id="9"/>
      </w:r>
      <w:r>
        <w:rPr>
          <w:sz w:val="24"/>
          <w:szCs w:val="24"/>
          <w:shd w:val="clear" w:color="auto" w:fill="FFFFFF"/>
        </w:rPr>
        <w:t xml:space="preserve"> He claims that with self-portraits the author searches for oneself, w</w:t>
      </w:r>
      <w:r>
        <w:rPr>
          <w:sz w:val="24"/>
          <w:szCs w:val="24"/>
          <w:shd w:val="clear" w:color="auto" w:fill="FFFFFF"/>
        </w:rPr>
        <w:t xml:space="preserve">hich is impossible as he is better seen in the real by the </w:t>
      </w:r>
      <w:proofErr w:type="gramStart"/>
      <w:r>
        <w:rPr>
          <w:sz w:val="24"/>
          <w:szCs w:val="24"/>
          <w:shd w:val="clear" w:color="auto" w:fill="FFFFFF"/>
        </w:rPr>
        <w:t>Other</w:t>
      </w:r>
      <w:proofErr w:type="gramEnd"/>
      <w:r>
        <w:rPr>
          <w:sz w:val="24"/>
          <w:szCs w:val="24"/>
          <w:shd w:val="clear" w:color="auto" w:fill="FFFFFF"/>
        </w:rPr>
        <w:t>, as in the myth from ancient Greece. The only possibility of seeing-oneself-seeing is after the accomplishment of the project of self-recording, that would mean; it is only possible to produc</w:t>
      </w:r>
      <w:r>
        <w:rPr>
          <w:sz w:val="24"/>
          <w:szCs w:val="24"/>
          <w:shd w:val="clear" w:color="auto" w:fill="FFFFFF"/>
        </w:rPr>
        <w:t>e portraits of self, never actually to make self-portraits, as it is not possible to see oneself.</w:t>
      </w:r>
      <w:r>
        <w:rPr>
          <w:sz w:val="24"/>
          <w:szCs w:val="24"/>
          <w:shd w:val="clear" w:color="auto" w:fill="FFFFFF"/>
          <w:vertAlign w:val="superscript"/>
        </w:rPr>
        <w:footnoteReference w:id="10"/>
      </w:r>
      <w:r>
        <w:rPr>
          <w:sz w:val="24"/>
          <w:szCs w:val="24"/>
          <w:shd w:val="clear" w:color="auto" w:fill="FFFFFF"/>
          <w:vertAlign w:val="superscript"/>
        </w:rPr>
        <w:t xml:space="preserve"> </w:t>
      </w:r>
      <w:r>
        <w:rPr>
          <w:sz w:val="24"/>
          <w:szCs w:val="24"/>
          <w:shd w:val="clear" w:color="auto" w:fill="FFFFFF"/>
        </w:rPr>
        <w:t>He continues: ‘It is as if the blind man were referring to himself […], there where a blind Narcissus, inventing a mirror without image, lets it be seen that</w:t>
      </w:r>
      <w:r>
        <w:rPr>
          <w:sz w:val="24"/>
          <w:szCs w:val="24"/>
          <w:shd w:val="clear" w:color="auto" w:fill="FFFFFF"/>
        </w:rPr>
        <w:t xml:space="preserve"> he does not see. He shows himself, he shows up, but to the other.’</w:t>
      </w:r>
      <w:r>
        <w:rPr>
          <w:sz w:val="24"/>
          <w:szCs w:val="24"/>
          <w:shd w:val="clear" w:color="auto" w:fill="FFFFFF"/>
          <w:vertAlign w:val="superscript"/>
        </w:rPr>
        <w:footnoteReference w:id="11"/>
      </w:r>
    </w:p>
    <w:p w:rsidR="00C809B3" w:rsidRDefault="00C809B3">
      <w:pPr>
        <w:pStyle w:val="BodyText"/>
        <w:shd w:val="clear" w:color="auto" w:fill="FFFFFF"/>
        <w:spacing w:after="0" w:line="480" w:lineRule="auto"/>
        <w:jc w:val="both"/>
        <w:rPr>
          <w:sz w:val="24"/>
          <w:szCs w:val="24"/>
          <w:shd w:val="clear" w:color="auto" w:fill="FFFFFF"/>
        </w:rPr>
      </w:pPr>
    </w:p>
    <w:p w:rsidR="00C809B3" w:rsidRDefault="0044601B">
      <w:pPr>
        <w:shd w:val="clear" w:color="auto" w:fill="FFFFFF"/>
        <w:spacing w:after="0" w:line="480" w:lineRule="auto"/>
        <w:jc w:val="both"/>
        <w:rPr>
          <w:sz w:val="24"/>
          <w:szCs w:val="24"/>
        </w:rPr>
      </w:pPr>
      <w:r>
        <w:rPr>
          <w:sz w:val="24"/>
          <w:szCs w:val="24"/>
          <w:shd w:val="clear" w:color="auto" w:fill="FFFFFF"/>
        </w:rPr>
        <w:t>Although writing on graphic arts, etching, and drawing, Jacques Derrida stressed an important element in the cognitive presence</w:t>
      </w:r>
      <w:r>
        <w:rPr>
          <w:i/>
          <w:iCs/>
          <w:sz w:val="24"/>
          <w:szCs w:val="24"/>
          <w:shd w:val="clear" w:color="auto" w:fill="FFFFFF"/>
        </w:rPr>
        <w:t xml:space="preserve"> </w:t>
      </w:r>
      <w:r>
        <w:rPr>
          <w:sz w:val="24"/>
          <w:szCs w:val="24"/>
          <w:shd w:val="clear" w:color="auto" w:fill="FFFFFF"/>
        </w:rPr>
        <w:t>of the author; the inclusion of his awareness within the p</w:t>
      </w:r>
      <w:r>
        <w:rPr>
          <w:sz w:val="24"/>
          <w:szCs w:val="24"/>
          <w:shd w:val="clear" w:color="auto" w:fill="FFFFFF"/>
        </w:rPr>
        <w:t>rocess of etching, which can also be taken for other fine arts.</w:t>
      </w:r>
      <w:r>
        <w:rPr>
          <w:sz w:val="24"/>
          <w:szCs w:val="24"/>
          <w:shd w:val="clear" w:color="auto" w:fill="FFFFFF"/>
          <w:vertAlign w:val="superscript"/>
        </w:rPr>
        <w:footnoteReference w:id="12"/>
      </w:r>
      <w:r>
        <w:rPr>
          <w:sz w:val="24"/>
          <w:szCs w:val="24"/>
          <w:shd w:val="clear" w:color="auto" w:fill="FFFFFF"/>
        </w:rPr>
        <w:t xml:space="preserve"> An etcher cannot simultaneously perceive the object sitting in front of him and the paper that he is drawing onto. The author’s eye is necessarily shifting and returning back to the paper, oc</w:t>
      </w:r>
      <w:r>
        <w:rPr>
          <w:sz w:val="24"/>
          <w:szCs w:val="24"/>
          <w:shd w:val="clear" w:color="auto" w:fill="FFFFFF"/>
        </w:rPr>
        <w:t>casionally re-constructing viewed scenes, based on a short-time memory.</w:t>
      </w:r>
      <w:r>
        <w:rPr>
          <w:sz w:val="24"/>
          <w:szCs w:val="24"/>
          <w:shd w:val="clear" w:color="auto" w:fill="FFFFFF"/>
          <w:vertAlign w:val="superscript"/>
        </w:rPr>
        <w:footnoteReference w:id="13"/>
      </w:r>
      <w:r>
        <w:rPr>
          <w:sz w:val="24"/>
          <w:szCs w:val="24"/>
          <w:shd w:val="clear" w:color="auto" w:fill="FFFFFF"/>
        </w:rPr>
        <w:t xml:space="preserve"> It is in this short time he works on the blind, or as Derrida says</w:t>
      </w:r>
      <w:proofErr w:type="gramStart"/>
      <w:r>
        <w:rPr>
          <w:sz w:val="24"/>
          <w:szCs w:val="24"/>
          <w:shd w:val="clear" w:color="auto" w:fill="FFFFFF"/>
        </w:rPr>
        <w:t>;</w:t>
      </w:r>
      <w:proofErr w:type="gramEnd"/>
      <w:r>
        <w:rPr>
          <w:sz w:val="24"/>
          <w:szCs w:val="24"/>
          <w:shd w:val="clear" w:color="auto" w:fill="FFFFFF"/>
        </w:rPr>
        <w:t xml:space="preserve"> as a blind person, remembering the world once seen, but not experiencing it directly.</w:t>
      </w:r>
      <w:r>
        <w:rPr>
          <w:sz w:val="24"/>
          <w:szCs w:val="24"/>
          <w:shd w:val="clear" w:color="auto" w:fill="FFFFFF"/>
          <w:vertAlign w:val="superscript"/>
        </w:rPr>
        <w:footnoteReference w:id="14"/>
      </w:r>
      <w:r>
        <w:rPr>
          <w:sz w:val="24"/>
          <w:szCs w:val="24"/>
          <w:shd w:val="clear" w:color="auto" w:fill="FFFFFF"/>
        </w:rPr>
        <w:t xml:space="preserve"> Or, the etcher can see only </w:t>
      </w:r>
      <w:r>
        <w:rPr>
          <w:sz w:val="24"/>
          <w:szCs w:val="24"/>
          <w:shd w:val="clear" w:color="auto" w:fill="FFFFFF"/>
        </w:rPr>
        <w:t xml:space="preserve">the mediated image in the mirror, which is yet another representation, a worn-out mimesis.  </w:t>
      </w:r>
    </w:p>
    <w:p w:rsidR="00C809B3" w:rsidRDefault="00C809B3">
      <w:pPr>
        <w:shd w:val="clear" w:color="auto" w:fill="FFFFFF"/>
        <w:spacing w:after="0" w:line="480" w:lineRule="auto"/>
        <w:jc w:val="both"/>
        <w:rPr>
          <w:sz w:val="24"/>
          <w:szCs w:val="24"/>
        </w:rPr>
      </w:pPr>
    </w:p>
    <w:p w:rsidR="00C809B3" w:rsidRDefault="0044601B">
      <w:pPr>
        <w:pStyle w:val="BodyText"/>
        <w:shd w:val="clear" w:color="auto" w:fill="FFFFFF"/>
        <w:spacing w:after="0" w:line="480" w:lineRule="auto"/>
        <w:jc w:val="both"/>
        <w:rPr>
          <w:sz w:val="24"/>
          <w:szCs w:val="24"/>
          <w:shd w:val="clear" w:color="auto" w:fill="FFFFFF"/>
        </w:rPr>
      </w:pPr>
      <w:r>
        <w:rPr>
          <w:sz w:val="24"/>
          <w:szCs w:val="24"/>
          <w:shd w:val="clear" w:color="auto" w:fill="FFFFFF"/>
        </w:rPr>
        <w:t xml:space="preserve">This split is well illustrated by a multiple self-portrait by Johannes Gumpp. It is not a real self-portrait, as he represents himself from the back. In this </w:t>
      </w:r>
      <w:r>
        <w:rPr>
          <w:sz w:val="24"/>
          <w:szCs w:val="24"/>
          <w:shd w:val="clear" w:color="auto" w:fill="FFFFFF"/>
        </w:rPr>
        <w:t xml:space="preserve">self-portrait, Gumpp is seen from the back, painting his self-portrait at the same time as he is looking at the mirror. Contrary to Jan Vermeer’s </w:t>
      </w:r>
      <w:r>
        <w:rPr>
          <w:i/>
          <w:iCs/>
          <w:sz w:val="24"/>
          <w:szCs w:val="24"/>
          <w:shd w:val="clear" w:color="auto" w:fill="FFFFFF"/>
        </w:rPr>
        <w:t xml:space="preserve">Allegory of Painting </w:t>
      </w:r>
      <w:r>
        <w:rPr>
          <w:sz w:val="24"/>
          <w:szCs w:val="24"/>
          <w:shd w:val="clear" w:color="auto" w:fill="FFFFFF"/>
        </w:rPr>
        <w:t>(1665-67), also showing a painter from the back, Gumpp provides a description of the acti</w:t>
      </w:r>
      <w:r>
        <w:rPr>
          <w:sz w:val="24"/>
          <w:szCs w:val="24"/>
          <w:shd w:val="clear" w:color="auto" w:fill="FFFFFF"/>
        </w:rPr>
        <w:t xml:space="preserve">on of self-portraying, not providing further information on the way he sees himself from the back. The mirror and the canvas are positioned next to each other, showing no perspectival distortion among themselves, similar to Velasquez’s </w:t>
      </w:r>
      <w:r>
        <w:rPr>
          <w:i/>
          <w:iCs/>
          <w:sz w:val="24"/>
          <w:szCs w:val="24"/>
          <w:shd w:val="clear" w:color="auto" w:fill="FFFFFF"/>
        </w:rPr>
        <w:t>Las Meninas</w:t>
      </w:r>
      <w:r>
        <w:rPr>
          <w:sz w:val="24"/>
          <w:szCs w:val="24"/>
          <w:shd w:val="clear" w:color="auto" w:fill="FFFFFF"/>
        </w:rPr>
        <w:t>. The rea</w:t>
      </w:r>
      <w:r>
        <w:rPr>
          <w:sz w:val="24"/>
          <w:szCs w:val="24"/>
          <w:shd w:val="clear" w:color="auto" w:fill="FFFFFF"/>
        </w:rPr>
        <w:t xml:space="preserve">l figure being represented is obviously imagined, as the painter cannot know how he looks from the back. </w:t>
      </w:r>
      <w:bookmarkEnd w:id="0"/>
    </w:p>
    <w:p w:rsidR="00C809B3" w:rsidRDefault="00C809B3">
      <w:pPr>
        <w:spacing w:after="0" w:line="480" w:lineRule="auto"/>
        <w:jc w:val="both"/>
        <w:rPr>
          <w:sz w:val="24"/>
          <w:szCs w:val="24"/>
        </w:rPr>
      </w:pPr>
    </w:p>
    <w:p w:rsidR="00C809B3" w:rsidRDefault="0044601B">
      <w:pPr>
        <w:shd w:val="clear" w:color="auto" w:fill="FFFFFF"/>
        <w:spacing w:after="0" w:line="480" w:lineRule="auto"/>
        <w:jc w:val="both"/>
        <w:rPr>
          <w:sz w:val="24"/>
          <w:szCs w:val="24"/>
          <w:shd w:val="clear" w:color="auto" w:fill="FFFFFF"/>
        </w:rPr>
      </w:pPr>
      <w:r>
        <w:rPr>
          <w:sz w:val="24"/>
          <w:szCs w:val="24"/>
          <w:shd w:val="clear" w:color="auto" w:fill="FFFFFF"/>
        </w:rPr>
        <w:t>The invention of photography, according to Derrida, thus, is twofold.</w:t>
      </w:r>
      <w:r>
        <w:rPr>
          <w:sz w:val="24"/>
          <w:szCs w:val="24"/>
          <w:shd w:val="clear" w:color="auto" w:fill="FFFFFF"/>
          <w:vertAlign w:val="superscript"/>
        </w:rPr>
        <w:footnoteReference w:id="15"/>
      </w:r>
      <w:r>
        <w:rPr>
          <w:sz w:val="24"/>
          <w:szCs w:val="24"/>
          <w:shd w:val="clear" w:color="auto" w:fill="FFFFFF"/>
        </w:rPr>
        <w:t xml:space="preserve"> Besides being a technical intervention, photography is also a discovery or a revelation of what is already there, by which it re-invents a definition of the </w:t>
      </w:r>
      <w:proofErr w:type="gramStart"/>
      <w:r>
        <w:rPr>
          <w:sz w:val="24"/>
          <w:szCs w:val="24"/>
          <w:shd w:val="clear" w:color="auto" w:fill="FFFFFF"/>
        </w:rPr>
        <w:t>Other</w:t>
      </w:r>
      <w:proofErr w:type="gramEnd"/>
      <w:r>
        <w:rPr>
          <w:sz w:val="24"/>
          <w:szCs w:val="24"/>
          <w:shd w:val="clear" w:color="auto" w:fill="FFFFFF"/>
        </w:rPr>
        <w:t xml:space="preserve">. A self-portrait thus would mean inventing the self as the </w:t>
      </w:r>
      <w:proofErr w:type="gramStart"/>
      <w:r>
        <w:rPr>
          <w:sz w:val="24"/>
          <w:szCs w:val="24"/>
          <w:shd w:val="clear" w:color="auto" w:fill="FFFFFF"/>
        </w:rPr>
        <w:t>Other</w:t>
      </w:r>
      <w:proofErr w:type="gramEnd"/>
      <w:r>
        <w:rPr>
          <w:sz w:val="24"/>
          <w:szCs w:val="24"/>
          <w:shd w:val="clear" w:color="auto" w:fill="FFFFFF"/>
        </w:rPr>
        <w:t>. When recording a self-port</w:t>
      </w:r>
      <w:r>
        <w:rPr>
          <w:sz w:val="24"/>
          <w:szCs w:val="24"/>
          <w:shd w:val="clear" w:color="auto" w:fill="FFFFFF"/>
        </w:rPr>
        <w:t>rait, the photographer is becoming his own object. He objectifies himself, which is actually impossible. To paraphrase Derrida’s claim; one can see oneself as being seen, but I can never see myself seeing.</w:t>
      </w:r>
      <w:r>
        <w:rPr>
          <w:sz w:val="24"/>
          <w:szCs w:val="24"/>
          <w:shd w:val="clear" w:color="auto" w:fill="FFFFFF"/>
          <w:vertAlign w:val="superscript"/>
        </w:rPr>
        <w:footnoteReference w:id="16"/>
      </w:r>
      <w:r>
        <w:rPr>
          <w:sz w:val="24"/>
          <w:szCs w:val="24"/>
          <w:shd w:val="clear" w:color="auto" w:fill="FFFFFF"/>
        </w:rPr>
        <w:t xml:space="preserve"> And further he noted</w:t>
      </w:r>
      <w:proofErr w:type="gramStart"/>
      <w:r>
        <w:rPr>
          <w:sz w:val="24"/>
          <w:szCs w:val="24"/>
          <w:shd w:val="clear" w:color="auto" w:fill="FFFFFF"/>
        </w:rPr>
        <w:t>;</w:t>
      </w:r>
      <w:proofErr w:type="gramEnd"/>
      <w:r>
        <w:rPr>
          <w:sz w:val="24"/>
          <w:szCs w:val="24"/>
          <w:shd w:val="clear" w:color="auto" w:fill="FFFFFF"/>
        </w:rPr>
        <w:t xml:space="preserve"> </w:t>
      </w:r>
    </w:p>
    <w:p w:rsidR="00C809B3" w:rsidRDefault="0044601B">
      <w:pPr>
        <w:pStyle w:val="Quote"/>
        <w:ind w:firstLine="0"/>
        <w:rPr>
          <w:i w:val="0"/>
          <w:iCs w:val="0"/>
          <w:shd w:val="clear" w:color="auto" w:fill="FFFFFF"/>
        </w:rPr>
      </w:pPr>
      <w:r>
        <w:rPr>
          <w:i w:val="0"/>
          <w:iCs w:val="0"/>
          <w:shd w:val="clear" w:color="auto" w:fill="FFFFFF"/>
        </w:rPr>
        <w:t>One thinks that the portra</w:t>
      </w:r>
      <w:r>
        <w:rPr>
          <w:i w:val="0"/>
          <w:iCs w:val="0"/>
          <w:shd w:val="clear" w:color="auto" w:fill="FFFFFF"/>
        </w:rPr>
        <w:t>it captures the eyes, the gaze that is, among other things, that for which something like photography [de la photographie] exists. The gaze is presumed to be what the subject himself cannot see in his own life. When one looks at oneself in a mirror, one se</w:t>
      </w:r>
      <w:r>
        <w:rPr>
          <w:i w:val="0"/>
          <w:iCs w:val="0"/>
          <w:shd w:val="clear" w:color="auto" w:fill="FFFFFF"/>
        </w:rPr>
        <w:t xml:space="preserve">es oneself either as seen or as seeing but never as both at the same time. One believes that in principle the camera — photographic or cinematographic — should capture or hold a </w:t>
      </w:r>
      <w:proofErr w:type="gramStart"/>
      <w:r>
        <w:rPr>
          <w:i w:val="0"/>
          <w:iCs w:val="0"/>
          <w:shd w:val="clear" w:color="auto" w:fill="FFFFFF"/>
        </w:rPr>
        <w:t>gaze which</w:t>
      </w:r>
      <w:proofErr w:type="gramEnd"/>
      <w:r>
        <w:rPr>
          <w:i w:val="0"/>
          <w:iCs w:val="0"/>
          <w:shd w:val="clear" w:color="auto" w:fill="FFFFFF"/>
        </w:rPr>
        <w:t xml:space="preserve"> the looking eyes cannot see.</w:t>
      </w:r>
      <w:r>
        <w:rPr>
          <w:i w:val="0"/>
          <w:iCs w:val="0"/>
          <w:shd w:val="clear" w:color="auto" w:fill="FFFFFF"/>
          <w:vertAlign w:val="superscript"/>
        </w:rPr>
        <w:footnoteReference w:id="17"/>
      </w:r>
    </w:p>
    <w:p w:rsidR="00C809B3" w:rsidRDefault="00C809B3">
      <w:pPr>
        <w:shd w:val="clear" w:color="auto" w:fill="FFFFFF"/>
        <w:spacing w:after="0" w:line="480" w:lineRule="auto"/>
        <w:jc w:val="both"/>
        <w:rPr>
          <w:sz w:val="24"/>
          <w:szCs w:val="24"/>
          <w:shd w:val="clear" w:color="auto" w:fill="FFFFFF"/>
        </w:rPr>
      </w:pPr>
    </w:p>
    <w:p w:rsidR="00C809B3" w:rsidRDefault="0044601B">
      <w:pPr>
        <w:shd w:val="clear" w:color="auto" w:fill="FFFFFF"/>
        <w:spacing w:after="0" w:line="480" w:lineRule="auto"/>
        <w:jc w:val="both"/>
        <w:rPr>
          <w:sz w:val="24"/>
          <w:szCs w:val="24"/>
        </w:rPr>
      </w:pPr>
      <w:r>
        <w:rPr>
          <w:sz w:val="24"/>
          <w:szCs w:val="24"/>
          <w:shd w:val="clear" w:color="auto" w:fill="FFFFFF"/>
        </w:rPr>
        <w:t>Contrary to the media of etching and</w:t>
      </w:r>
      <w:r>
        <w:rPr>
          <w:sz w:val="24"/>
          <w:szCs w:val="24"/>
          <w:shd w:val="clear" w:color="auto" w:fill="FFFFFF"/>
        </w:rPr>
        <w:t xml:space="preserve"> painting, photography is a medium with an uninterrupted continuity between the object and the subject of the photograph. Speaking in terms of optics, it is the unbroken ray/wave of light allowing and conditioning the viewing process, simultaneously imprin</w:t>
      </w:r>
      <w:r>
        <w:rPr>
          <w:sz w:val="24"/>
          <w:szCs w:val="24"/>
          <w:shd w:val="clear" w:color="auto" w:fill="FFFFFF"/>
        </w:rPr>
        <w:t>ting the image on the film or sensor of the camera. For that capacity, photographic medium was consequently interpreted as a direct imprint of nature onto the film, since the very invention of the medium.</w:t>
      </w:r>
      <w:r>
        <w:rPr>
          <w:sz w:val="24"/>
          <w:szCs w:val="24"/>
          <w:shd w:val="clear" w:color="auto" w:fill="FFFFFF"/>
          <w:vertAlign w:val="superscript"/>
        </w:rPr>
        <w:footnoteReference w:id="18"/>
      </w:r>
      <w:r>
        <w:rPr>
          <w:sz w:val="24"/>
          <w:szCs w:val="24"/>
          <w:shd w:val="clear" w:color="auto" w:fill="FFFFFF"/>
        </w:rPr>
        <w:t xml:space="preserve"> This medium is necessarily limited in its objectif</w:t>
      </w:r>
      <w:r>
        <w:rPr>
          <w:sz w:val="24"/>
          <w:szCs w:val="24"/>
          <w:shd w:val="clear" w:color="auto" w:fill="FFFFFF"/>
        </w:rPr>
        <w:t xml:space="preserve">ying qualities, which, as a consequence, leads to a larger subjectivization of the otherwise objective medium. </w:t>
      </w:r>
    </w:p>
    <w:p w:rsidR="00C809B3" w:rsidRDefault="00C809B3">
      <w:pPr>
        <w:shd w:val="clear" w:color="auto" w:fill="FFFFFF"/>
        <w:spacing w:after="0" w:line="480" w:lineRule="auto"/>
        <w:jc w:val="both"/>
        <w:rPr>
          <w:sz w:val="24"/>
          <w:szCs w:val="24"/>
        </w:rPr>
      </w:pPr>
    </w:p>
    <w:p w:rsidR="00C809B3" w:rsidRDefault="00C809B3">
      <w:pPr>
        <w:shd w:val="clear" w:color="auto" w:fill="FFFFFF"/>
        <w:spacing w:after="0" w:line="480" w:lineRule="auto"/>
        <w:jc w:val="both"/>
        <w:rPr>
          <w:sz w:val="24"/>
          <w:szCs w:val="24"/>
        </w:rPr>
      </w:pPr>
    </w:p>
    <w:p w:rsidR="00C809B3" w:rsidRDefault="0044601B">
      <w:pPr>
        <w:pStyle w:val="Heading3"/>
      </w:pPr>
      <w:r>
        <w:t>The Media of Self-Reflection and Self-storage</w:t>
      </w:r>
    </w:p>
    <w:p w:rsidR="00C809B3" w:rsidRDefault="0044601B">
      <w:pPr>
        <w:shd w:val="clear" w:color="auto" w:fill="FFFFFF"/>
        <w:spacing w:after="0" w:line="480" w:lineRule="auto"/>
        <w:jc w:val="both"/>
        <w:rPr>
          <w:sz w:val="24"/>
          <w:szCs w:val="24"/>
          <w:shd w:val="clear" w:color="auto" w:fill="FFFFFF"/>
        </w:rPr>
      </w:pPr>
      <w:r>
        <w:rPr>
          <w:sz w:val="24"/>
          <w:szCs w:val="24"/>
          <w:shd w:val="clear" w:color="auto" w:fill="FFFFFF"/>
        </w:rPr>
        <w:t>Without the photographer, who might as well be the only perceiver of the photograph, an object o</w:t>
      </w:r>
      <w:r>
        <w:rPr>
          <w:sz w:val="24"/>
          <w:szCs w:val="24"/>
          <w:shd w:val="clear" w:color="auto" w:fill="FFFFFF"/>
        </w:rPr>
        <w:t>f the photograph is drawn to a suspicion of its own self-existence. A self-portrait produces a collapse between seeing and gazing of the subject. Although photographic self-portraits look like other photographs, portraits for example, they are just partial</w:t>
      </w:r>
      <w:r>
        <w:rPr>
          <w:sz w:val="24"/>
          <w:szCs w:val="24"/>
          <w:shd w:val="clear" w:color="auto" w:fill="FFFFFF"/>
        </w:rPr>
        <w:t xml:space="preserve"> sequences. A photograph, moreover, physically occurs halfway between the object and the subject viewing it. It interrupts the ray of light, temporarily freezing the process of viewing, being an integral part of its cognitive presence. As a photographer ca</w:t>
      </w:r>
      <w:r>
        <w:rPr>
          <w:sz w:val="24"/>
          <w:szCs w:val="24"/>
          <w:shd w:val="clear" w:color="auto" w:fill="FFFFFF"/>
        </w:rPr>
        <w:t xml:space="preserve">nnot see both the object and the paper, at once, he cannot be present at both sides of the camera at once. </w:t>
      </w:r>
    </w:p>
    <w:p w:rsidR="00C809B3" w:rsidRDefault="00C809B3">
      <w:pPr>
        <w:pStyle w:val="WW-Default1"/>
        <w:shd w:val="clear" w:color="auto" w:fill="FFFFFF"/>
        <w:tabs>
          <w:tab w:val="left" w:pos="720"/>
        </w:tabs>
        <w:spacing w:line="480" w:lineRule="auto"/>
        <w:jc w:val="both"/>
        <w:rPr>
          <w:sz w:val="24"/>
          <w:szCs w:val="24"/>
          <w:shd w:val="clear" w:color="auto" w:fill="FFFFFF"/>
        </w:rPr>
      </w:pPr>
    </w:p>
    <w:p w:rsidR="00C809B3" w:rsidRDefault="0044601B">
      <w:pPr>
        <w:pStyle w:val="WW-Default1"/>
        <w:shd w:val="clear" w:color="auto" w:fill="FFFFFF"/>
        <w:tabs>
          <w:tab w:val="left" w:pos="720"/>
        </w:tabs>
        <w:spacing w:line="480" w:lineRule="auto"/>
        <w:jc w:val="both"/>
        <w:rPr>
          <w:sz w:val="24"/>
          <w:szCs w:val="24"/>
          <w:shd w:val="clear" w:color="auto" w:fill="FFFFFF"/>
        </w:rPr>
      </w:pPr>
      <w:r>
        <w:rPr>
          <w:sz w:val="24"/>
          <w:szCs w:val="24"/>
          <w:shd w:val="clear" w:color="auto" w:fill="FFFFFF"/>
        </w:rPr>
        <w:t>Media of self-portraits can be distinguished according to their depositing qualities. The proper media of self-reflection are those in which a pers</w:t>
      </w:r>
      <w:r>
        <w:rPr>
          <w:sz w:val="24"/>
          <w:szCs w:val="24"/>
          <w:shd w:val="clear" w:color="auto" w:fill="FFFFFF"/>
        </w:rPr>
        <w:t>on sees himself alive. And these are only water, mirror, and mirror-based media. All other media, including drawing, painting and photographs produce a second order reality, serving to store the image into the picture. In drawn, painted, and photographic s</w:t>
      </w:r>
      <w:r>
        <w:rPr>
          <w:sz w:val="24"/>
          <w:szCs w:val="24"/>
          <w:shd w:val="clear" w:color="auto" w:fill="FFFFFF"/>
        </w:rPr>
        <w:t>elf-portraits, a painter has to watch him/herself and paint in separate times and space chunks, interrupting the process of self-observation as elaborated by Derrida.</w:t>
      </w:r>
      <w:r>
        <w:rPr>
          <w:sz w:val="24"/>
          <w:szCs w:val="24"/>
          <w:shd w:val="clear" w:color="auto" w:fill="FFFFFF"/>
          <w:vertAlign w:val="superscript"/>
        </w:rPr>
        <w:footnoteReference w:id="19"/>
      </w:r>
      <w:r>
        <w:rPr>
          <w:sz w:val="24"/>
          <w:szCs w:val="24"/>
          <w:shd w:val="clear" w:color="auto" w:fill="FFFFFF"/>
        </w:rPr>
        <w:t xml:space="preserve"> Drawings and paintings, but also films, tapes and hard disks, belong more to storage med</w:t>
      </w:r>
      <w:r>
        <w:rPr>
          <w:sz w:val="24"/>
          <w:szCs w:val="24"/>
          <w:shd w:val="clear" w:color="auto" w:fill="FFFFFF"/>
        </w:rPr>
        <w:t>ia than to the media of self-reflection.</w:t>
      </w:r>
      <w:r>
        <w:rPr>
          <w:sz w:val="24"/>
          <w:szCs w:val="24"/>
          <w:shd w:val="clear" w:color="auto" w:fill="FFFFFF"/>
          <w:vertAlign w:val="superscript"/>
        </w:rPr>
        <w:footnoteReference w:id="20"/>
      </w:r>
      <w:r>
        <w:rPr>
          <w:sz w:val="24"/>
          <w:szCs w:val="24"/>
          <w:shd w:val="clear" w:color="auto" w:fill="FFFFFF"/>
        </w:rPr>
        <w:t xml:space="preserve"> A viewer cannot see himself in the mirror of René Magritte’s painting, as painting is not the medium of reflection.</w:t>
      </w:r>
      <w:r>
        <w:rPr>
          <w:sz w:val="24"/>
          <w:szCs w:val="24"/>
          <w:shd w:val="clear" w:color="auto" w:fill="FFFFFF"/>
          <w:vertAlign w:val="superscript"/>
        </w:rPr>
        <w:footnoteReference w:id="21"/>
      </w:r>
      <w:r>
        <w:rPr>
          <w:sz w:val="24"/>
          <w:szCs w:val="24"/>
          <w:shd w:val="clear" w:color="auto" w:fill="FFFFFF"/>
        </w:rPr>
        <w:t xml:space="preserve"> </w:t>
      </w:r>
    </w:p>
    <w:p w:rsidR="00C809B3" w:rsidRDefault="00C809B3">
      <w:pPr>
        <w:pStyle w:val="WW-Default1"/>
        <w:shd w:val="clear" w:color="auto" w:fill="FFFFFF"/>
        <w:tabs>
          <w:tab w:val="left" w:pos="720"/>
        </w:tabs>
        <w:spacing w:line="480" w:lineRule="auto"/>
        <w:jc w:val="both"/>
        <w:rPr>
          <w:sz w:val="24"/>
          <w:szCs w:val="24"/>
          <w:shd w:val="clear" w:color="auto" w:fill="FFFFFF"/>
        </w:rPr>
      </w:pPr>
    </w:p>
    <w:p w:rsidR="00C809B3" w:rsidRDefault="0044601B">
      <w:pPr>
        <w:pStyle w:val="WW-Default1"/>
        <w:shd w:val="clear" w:color="auto" w:fill="FFFFFF"/>
        <w:tabs>
          <w:tab w:val="left" w:pos="720"/>
        </w:tabs>
        <w:spacing w:line="480" w:lineRule="auto"/>
        <w:jc w:val="both"/>
        <w:rPr>
          <w:kern w:val="1"/>
          <w:sz w:val="24"/>
          <w:szCs w:val="24"/>
          <w:shd w:val="clear" w:color="auto" w:fill="FFFFFF"/>
        </w:rPr>
      </w:pPr>
      <w:r>
        <w:rPr>
          <w:sz w:val="24"/>
          <w:szCs w:val="24"/>
          <w:shd w:val="clear" w:color="auto" w:fill="FFFFFF"/>
        </w:rPr>
        <w:t>This difference, between the media of self-reflection and storage media, offers a large span of</w:t>
      </w:r>
      <w:r>
        <w:rPr>
          <w:sz w:val="24"/>
          <w:szCs w:val="24"/>
          <w:shd w:val="clear" w:color="auto" w:fill="FFFFFF"/>
        </w:rPr>
        <w:t xml:space="preserve"> possibilities for intervening, interrupting and interpreting the otherwise straight process of reflection, producing pictures differently than the one originally imaged by the mirroring device as seen in previous examples. And such gap would be resolved i</w:t>
      </w:r>
      <w:r>
        <w:rPr>
          <w:sz w:val="24"/>
          <w:szCs w:val="24"/>
          <w:shd w:val="clear" w:color="auto" w:fill="FFFFFF"/>
        </w:rPr>
        <w:t xml:space="preserve">n the selfie-culture, which though, by using partially reversible filters and plug-ins, is in nature being continuous. </w:t>
      </w:r>
      <w:r>
        <w:rPr>
          <w:kern w:val="1"/>
          <w:sz w:val="24"/>
          <w:szCs w:val="24"/>
          <w:shd w:val="clear" w:color="auto" w:fill="FFFFFF"/>
        </w:rPr>
        <w:t xml:space="preserve">There is no time delay between the performances of seeing and being seen, as with sketching and painting, recording and developing. </w:t>
      </w:r>
      <w:r>
        <w:rPr>
          <w:sz w:val="24"/>
          <w:szCs w:val="24"/>
          <w:shd w:val="clear" w:color="auto" w:fill="FFFFFF"/>
        </w:rPr>
        <w:t xml:space="preserve">Contrary to etching and painting, but also some instances of self-portraying photography as I have discussed earlier, selfies do not produce a distraction in the production of the picture. There are no jumps among layers of reality, and continuity forms a </w:t>
      </w:r>
      <w:r>
        <w:rPr>
          <w:sz w:val="24"/>
          <w:szCs w:val="24"/>
          <w:shd w:val="clear" w:color="auto" w:fill="FFFFFF"/>
        </w:rPr>
        <w:t xml:space="preserve">perfect loop. A double action is established; recording is seeing while viewing is recording at the same time, with a slight distributive delay. </w:t>
      </w:r>
      <w:r>
        <w:rPr>
          <w:kern w:val="1"/>
          <w:sz w:val="24"/>
          <w:szCs w:val="24"/>
          <w:shd w:val="clear" w:color="auto" w:fill="FFFFFF"/>
        </w:rPr>
        <w:t>Selfie is immediate and fully controlled. It is possible to see the end result simultaneously while recording.</w:t>
      </w:r>
    </w:p>
    <w:p w:rsidR="00C809B3" w:rsidRDefault="00C809B3">
      <w:pPr>
        <w:shd w:val="clear" w:color="auto" w:fill="FFFFFF"/>
        <w:spacing w:after="0" w:line="480" w:lineRule="auto"/>
        <w:jc w:val="both"/>
        <w:rPr>
          <w:sz w:val="24"/>
          <w:szCs w:val="24"/>
          <w:shd w:val="clear" w:color="auto" w:fill="FFFFFF"/>
        </w:rPr>
      </w:pPr>
    </w:p>
    <w:p w:rsidR="00C809B3" w:rsidRDefault="0044601B">
      <w:pPr>
        <w:spacing w:after="0" w:line="480" w:lineRule="auto"/>
      </w:pPr>
      <w:r>
        <w:rPr>
          <w:rFonts w:ascii="Arial Unicode MS" w:eastAsia="Arial Unicode MS" w:hAnsi="Arial Unicode MS" w:cs="Arial Unicode MS"/>
          <w:sz w:val="24"/>
          <w:szCs w:val="24"/>
        </w:rPr>
        <w:br w:type="page"/>
      </w:r>
    </w:p>
    <w:p w:rsidR="00C809B3" w:rsidRDefault="0044601B">
      <w:pPr>
        <w:spacing w:after="0" w:line="480" w:lineRule="auto"/>
        <w:rPr>
          <w:b/>
          <w:bCs/>
          <w:sz w:val="24"/>
          <w:szCs w:val="24"/>
        </w:rPr>
      </w:pPr>
      <w:r>
        <w:rPr>
          <w:b/>
          <w:bCs/>
          <w:sz w:val="24"/>
          <w:szCs w:val="24"/>
        </w:rPr>
        <w:t>REFERENCES</w:t>
      </w:r>
    </w:p>
    <w:p w:rsidR="00C809B3" w:rsidRDefault="0044601B">
      <w:pPr>
        <w:spacing w:after="0" w:line="240" w:lineRule="auto"/>
        <w:rPr>
          <w:sz w:val="24"/>
          <w:szCs w:val="24"/>
        </w:rPr>
      </w:pPr>
      <w:proofErr w:type="gramStart"/>
      <w:r>
        <w:rPr>
          <w:sz w:val="24"/>
          <w:szCs w:val="24"/>
        </w:rPr>
        <w:t xml:space="preserve">Barthes, Roland, </w:t>
      </w:r>
      <w:r>
        <w:rPr>
          <w:i/>
          <w:iCs/>
          <w:sz w:val="24"/>
          <w:szCs w:val="24"/>
        </w:rPr>
        <w:t>Roland Barthes</w:t>
      </w:r>
      <w:r>
        <w:rPr>
          <w:sz w:val="24"/>
          <w:szCs w:val="24"/>
        </w:rPr>
        <w:t>, prijev.</w:t>
      </w:r>
      <w:proofErr w:type="gramEnd"/>
      <w:r>
        <w:rPr>
          <w:sz w:val="24"/>
          <w:szCs w:val="24"/>
        </w:rPr>
        <w:t xml:space="preserve"> Richard Howard, London/Basingstoke: Macmillan Press, 1977, </w:t>
      </w:r>
    </w:p>
    <w:p w:rsidR="00C809B3" w:rsidRDefault="0044601B">
      <w:pPr>
        <w:pStyle w:val="tootnote"/>
        <w:rPr>
          <w:sz w:val="24"/>
          <w:szCs w:val="24"/>
        </w:rPr>
      </w:pPr>
      <w:proofErr w:type="gramStart"/>
      <w:r>
        <w:rPr>
          <w:rFonts w:eastAsia="Arial Unicode MS" w:cs="Arial Unicode MS"/>
          <w:sz w:val="24"/>
          <w:szCs w:val="24"/>
        </w:rPr>
        <w:t xml:space="preserve">Bataille, Georges </w:t>
      </w:r>
      <w:r>
        <w:rPr>
          <w:rFonts w:eastAsia="Arial Unicode MS" w:cs="Arial Unicode MS"/>
          <w:i/>
          <w:iCs/>
          <w:sz w:val="24"/>
          <w:szCs w:val="24"/>
        </w:rPr>
        <w:t>Story of the Eye</w:t>
      </w:r>
      <w:r>
        <w:rPr>
          <w:rFonts w:eastAsia="Arial Unicode MS" w:cs="Arial Unicode MS"/>
          <w:sz w:val="24"/>
          <w:szCs w:val="24"/>
        </w:rPr>
        <w:t xml:space="preserve">, trans. </w:t>
      </w:r>
      <w:hyperlink r:id="rId7" w:history="1">
        <w:r>
          <w:rPr>
            <w:rStyle w:val="Hyperlink1"/>
            <w:rFonts w:eastAsia="Arial Unicode MS" w:cs="Arial Unicode MS"/>
          </w:rPr>
          <w:t>Dovid Bergelson</w:t>
        </w:r>
      </w:hyperlink>
      <w:r>
        <w:rPr>
          <w:rFonts w:eastAsia="Arial Unicode MS" w:cs="Arial Unicode MS"/>
          <w:sz w:val="24"/>
          <w:szCs w:val="24"/>
        </w:rPr>
        <w:t>, Penguin Classics, 2001 (1928).</w:t>
      </w:r>
      <w:proofErr w:type="gramEnd"/>
      <w:r>
        <w:rPr>
          <w:rFonts w:eastAsia="Arial Unicode MS" w:cs="Arial Unicode MS"/>
          <w:sz w:val="24"/>
          <w:szCs w:val="24"/>
        </w:rPr>
        <w:t xml:space="preserve"> </w:t>
      </w:r>
    </w:p>
    <w:p w:rsidR="00C809B3" w:rsidRDefault="0044601B">
      <w:pPr>
        <w:pStyle w:val="tootnote"/>
        <w:rPr>
          <w:sz w:val="24"/>
          <w:szCs w:val="24"/>
          <w:shd w:val="clear" w:color="auto" w:fill="FFFF00"/>
        </w:rPr>
      </w:pPr>
      <w:r>
        <w:rPr>
          <w:rFonts w:eastAsia="Arial Unicode MS" w:cs="Arial Unicode MS"/>
          <w:sz w:val="24"/>
          <w:szCs w:val="24"/>
        </w:rPr>
        <w:t xml:space="preserve">Damisch. Hubert, </w:t>
      </w:r>
      <w:r>
        <w:rPr>
          <w:rFonts w:eastAsia="Arial Unicode MS" w:cs="Arial Unicode MS"/>
          <w:i/>
          <w:iCs/>
          <w:sz w:val="24"/>
          <w:szCs w:val="24"/>
        </w:rPr>
        <w:t>The Origin of Perspective</w:t>
      </w:r>
      <w:r>
        <w:rPr>
          <w:rFonts w:eastAsia="Arial Unicode MS" w:cs="Arial Unicode MS"/>
          <w:sz w:val="24"/>
          <w:szCs w:val="24"/>
        </w:rPr>
        <w:t>, trans. John Goodman, Cambridge and London: MIT Press, 1995 (1987).</w:t>
      </w:r>
    </w:p>
    <w:p w:rsidR="00C809B3" w:rsidRDefault="0044601B">
      <w:pPr>
        <w:pStyle w:val="WW-Default1"/>
        <w:shd w:val="clear" w:color="auto" w:fill="FFFFFF"/>
        <w:tabs>
          <w:tab w:val="left" w:pos="720"/>
        </w:tabs>
        <w:jc w:val="both"/>
        <w:rPr>
          <w:sz w:val="24"/>
          <w:szCs w:val="24"/>
          <w:shd w:val="clear" w:color="auto" w:fill="FFFFFF"/>
        </w:rPr>
      </w:pPr>
      <w:r>
        <w:rPr>
          <w:sz w:val="24"/>
          <w:szCs w:val="24"/>
          <w:shd w:val="clear" w:color="auto" w:fill="FFFFFF"/>
        </w:rPr>
        <w:t xml:space="preserve">Derrida, </w:t>
      </w:r>
      <w:r>
        <w:rPr>
          <w:sz w:val="24"/>
          <w:szCs w:val="24"/>
        </w:rPr>
        <w:t xml:space="preserve">Jacques, </w:t>
      </w:r>
      <w:r>
        <w:rPr>
          <w:i/>
          <w:iCs/>
          <w:sz w:val="24"/>
          <w:szCs w:val="24"/>
          <w:shd w:val="clear" w:color="auto" w:fill="FFFFFF"/>
        </w:rPr>
        <w:t xml:space="preserve">Copy, Archive, Signature – a Conversation on Photography, </w:t>
      </w:r>
      <w:r>
        <w:rPr>
          <w:sz w:val="24"/>
          <w:szCs w:val="24"/>
          <w:shd w:val="clear" w:color="auto" w:fill="FFFFFF"/>
        </w:rPr>
        <w:t>trans. Jeff fort,</w:t>
      </w:r>
      <w:r>
        <w:rPr>
          <w:i/>
          <w:iCs/>
          <w:sz w:val="24"/>
          <w:szCs w:val="24"/>
          <w:shd w:val="clear" w:color="auto" w:fill="FFFFFF"/>
        </w:rPr>
        <w:t xml:space="preserve"> </w:t>
      </w:r>
      <w:r>
        <w:rPr>
          <w:sz w:val="24"/>
          <w:szCs w:val="24"/>
          <w:shd w:val="clear" w:color="auto" w:fill="FFFFFF"/>
        </w:rPr>
        <w:t>Redwood City: Stanford University Press, 2010.</w:t>
      </w:r>
    </w:p>
    <w:p w:rsidR="00C809B3" w:rsidRDefault="0044601B">
      <w:pPr>
        <w:pStyle w:val="WW-Default1"/>
        <w:shd w:val="clear" w:color="auto" w:fill="FFFFFF"/>
        <w:tabs>
          <w:tab w:val="left" w:pos="720"/>
        </w:tabs>
        <w:jc w:val="both"/>
        <w:rPr>
          <w:sz w:val="24"/>
          <w:szCs w:val="24"/>
        </w:rPr>
      </w:pPr>
      <w:r>
        <w:rPr>
          <w:sz w:val="24"/>
          <w:szCs w:val="24"/>
        </w:rPr>
        <w:t>Derrida,</w:t>
      </w:r>
      <w:r>
        <w:rPr>
          <w:i/>
          <w:iCs/>
          <w:sz w:val="24"/>
          <w:szCs w:val="24"/>
        </w:rPr>
        <w:t xml:space="preserve"> </w:t>
      </w:r>
      <w:r>
        <w:rPr>
          <w:sz w:val="24"/>
          <w:szCs w:val="24"/>
        </w:rPr>
        <w:t xml:space="preserve">Jacques, </w:t>
      </w:r>
      <w:r>
        <w:rPr>
          <w:i/>
          <w:iCs/>
          <w:sz w:val="24"/>
          <w:szCs w:val="24"/>
        </w:rPr>
        <w:t>Memoirs of the Blind: The Self-Portrait and Other Ruins,</w:t>
      </w:r>
      <w:r>
        <w:rPr>
          <w:sz w:val="24"/>
          <w:szCs w:val="24"/>
        </w:rPr>
        <w:t xml:space="preserve"> prijev. Pascale-Anne Brault i Michael Naas, Chicago/London: University of Chicago Press, </w:t>
      </w:r>
      <w:proofErr w:type="gramStart"/>
      <w:r>
        <w:rPr>
          <w:sz w:val="24"/>
          <w:szCs w:val="24"/>
        </w:rPr>
        <w:t>1993</w:t>
      </w:r>
      <w:r>
        <w:rPr>
          <w:i/>
          <w:iCs/>
          <w:sz w:val="24"/>
          <w:szCs w:val="24"/>
        </w:rPr>
        <w:t xml:space="preserve"> </w:t>
      </w:r>
      <w:r>
        <w:rPr>
          <w:sz w:val="24"/>
          <w:szCs w:val="24"/>
        </w:rPr>
        <w:t>.</w:t>
      </w:r>
      <w:proofErr w:type="gramEnd"/>
    </w:p>
    <w:p w:rsidR="00C809B3" w:rsidRDefault="0044601B">
      <w:pPr>
        <w:shd w:val="clear" w:color="auto" w:fill="FFFFFF"/>
        <w:spacing w:after="0" w:line="240" w:lineRule="auto"/>
        <w:jc w:val="both"/>
        <w:rPr>
          <w:sz w:val="24"/>
          <w:szCs w:val="24"/>
        </w:rPr>
      </w:pPr>
      <w:r>
        <w:rPr>
          <w:sz w:val="24"/>
          <w:szCs w:val="24"/>
        </w:rPr>
        <w:t xml:space="preserve">Hall, James. </w:t>
      </w:r>
      <w:r>
        <w:rPr>
          <w:i/>
          <w:iCs/>
          <w:sz w:val="24"/>
          <w:szCs w:val="24"/>
        </w:rPr>
        <w:t>The Self-Portrait: A Cultural History</w:t>
      </w:r>
      <w:r>
        <w:rPr>
          <w:sz w:val="24"/>
          <w:szCs w:val="24"/>
        </w:rPr>
        <w:t>, London: Thames and Hudson, 2014.</w:t>
      </w:r>
    </w:p>
    <w:p w:rsidR="00C809B3" w:rsidRDefault="0044601B">
      <w:pPr>
        <w:shd w:val="clear" w:color="auto" w:fill="FFFFFF"/>
        <w:spacing w:after="0" w:line="240" w:lineRule="auto"/>
        <w:jc w:val="both"/>
        <w:rPr>
          <w:sz w:val="24"/>
          <w:szCs w:val="24"/>
          <w:shd w:val="clear" w:color="auto" w:fill="FFFFFF"/>
        </w:rPr>
      </w:pPr>
      <w:r>
        <w:rPr>
          <w:sz w:val="24"/>
          <w:szCs w:val="24"/>
          <w:shd w:val="clear" w:color="auto" w:fill="FFFFFF"/>
        </w:rPr>
        <w:t xml:space="preserve">Henry Fox Talbot, </w:t>
      </w:r>
      <w:r>
        <w:rPr>
          <w:i/>
          <w:iCs/>
          <w:sz w:val="24"/>
          <w:szCs w:val="24"/>
          <w:shd w:val="clear" w:color="auto" w:fill="FFFFFF"/>
        </w:rPr>
        <w:t>Pencil of Nature</w:t>
      </w:r>
      <w:r>
        <w:rPr>
          <w:sz w:val="24"/>
          <w:szCs w:val="24"/>
          <w:shd w:val="clear" w:color="auto" w:fill="FFFFFF"/>
        </w:rPr>
        <w:t>, London: Longman, Brown, Green and Long</w:t>
      </w:r>
      <w:r>
        <w:rPr>
          <w:sz w:val="24"/>
          <w:szCs w:val="24"/>
          <w:shd w:val="clear" w:color="auto" w:fill="FFFFFF"/>
        </w:rPr>
        <w:t>mans, Project Gutenberg, 2010 (1844).</w:t>
      </w:r>
    </w:p>
    <w:p w:rsidR="00C809B3" w:rsidRDefault="0044601B">
      <w:pPr>
        <w:pStyle w:val="tootnote"/>
        <w:rPr>
          <w:sz w:val="24"/>
          <w:szCs w:val="24"/>
        </w:rPr>
      </w:pPr>
      <w:r>
        <w:rPr>
          <w:rFonts w:eastAsia="Arial Unicode MS" w:cs="Arial Unicode MS"/>
          <w:sz w:val="24"/>
          <w:szCs w:val="24"/>
        </w:rPr>
        <w:t xml:space="preserve">Jay. Martin </w:t>
      </w:r>
      <w:r>
        <w:rPr>
          <w:rFonts w:eastAsia="Arial Unicode MS" w:cs="Arial Unicode MS"/>
          <w:i/>
          <w:iCs/>
          <w:sz w:val="24"/>
          <w:szCs w:val="24"/>
        </w:rPr>
        <w:t>Downcast Eyes: The Denigration of Vision in Twentieth-Century French Thought.</w:t>
      </w:r>
      <w:r>
        <w:rPr>
          <w:rFonts w:eastAsia="Arial Unicode MS" w:cs="Arial Unicode MS"/>
          <w:sz w:val="24"/>
          <w:szCs w:val="24"/>
        </w:rPr>
        <w:t xml:space="preserve"> Berkeley and Los Angeles: California University Press, 1994. </w:t>
      </w:r>
    </w:p>
    <w:p w:rsidR="00C809B3" w:rsidRDefault="0044601B">
      <w:pPr>
        <w:shd w:val="clear" w:color="auto" w:fill="FFFFFF"/>
        <w:spacing w:after="0" w:line="240" w:lineRule="auto"/>
        <w:jc w:val="both"/>
        <w:rPr>
          <w:sz w:val="24"/>
          <w:szCs w:val="24"/>
        </w:rPr>
      </w:pPr>
      <w:r>
        <w:rPr>
          <w:sz w:val="24"/>
          <w:szCs w:val="24"/>
        </w:rPr>
        <w:t xml:space="preserve">Kittler, Friedrichm </w:t>
      </w:r>
      <w:r>
        <w:rPr>
          <w:i/>
          <w:iCs/>
          <w:sz w:val="24"/>
          <w:szCs w:val="24"/>
        </w:rPr>
        <w:t>Optical media</w:t>
      </w:r>
      <w:r>
        <w:rPr>
          <w:sz w:val="24"/>
          <w:szCs w:val="24"/>
        </w:rPr>
        <w:t xml:space="preserve">: </w:t>
      </w:r>
      <w:r>
        <w:rPr>
          <w:i/>
          <w:iCs/>
          <w:sz w:val="24"/>
          <w:szCs w:val="24"/>
        </w:rPr>
        <w:t>Berlin lectures 1999,</w:t>
      </w:r>
      <w:r>
        <w:rPr>
          <w:sz w:val="24"/>
          <w:szCs w:val="24"/>
        </w:rPr>
        <w:t xml:space="preserve"> trans. An</w:t>
      </w:r>
      <w:r>
        <w:rPr>
          <w:sz w:val="24"/>
          <w:szCs w:val="24"/>
        </w:rPr>
        <w:t>thony Enns, Cambridge/Walden: Polity, 2010.</w:t>
      </w:r>
    </w:p>
    <w:p w:rsidR="00C809B3" w:rsidRDefault="0044601B">
      <w:pPr>
        <w:pStyle w:val="WW-Default1"/>
        <w:shd w:val="clear" w:color="auto" w:fill="FFFFFF"/>
        <w:tabs>
          <w:tab w:val="left" w:pos="720"/>
        </w:tabs>
        <w:jc w:val="both"/>
        <w:rPr>
          <w:sz w:val="24"/>
          <w:szCs w:val="24"/>
        </w:rPr>
      </w:pPr>
      <w:r>
        <w:rPr>
          <w:sz w:val="24"/>
          <w:szCs w:val="24"/>
        </w:rPr>
        <w:t xml:space="preserve">Kristeva, Julia, </w:t>
      </w:r>
      <w:r>
        <w:rPr>
          <w:i/>
          <w:iCs/>
          <w:sz w:val="24"/>
          <w:szCs w:val="24"/>
        </w:rPr>
        <w:t>Powers of Horror, An Essay on Abjection</w:t>
      </w:r>
      <w:r>
        <w:rPr>
          <w:sz w:val="24"/>
          <w:szCs w:val="24"/>
        </w:rPr>
        <w:t>, prijev. Celine Louis Ferdinand, New York: University of Columbia Press, 1982.</w:t>
      </w:r>
    </w:p>
    <w:p w:rsidR="00C809B3" w:rsidRDefault="0044601B">
      <w:pPr>
        <w:spacing w:after="0" w:line="240" w:lineRule="auto"/>
        <w:rPr>
          <w:sz w:val="24"/>
          <w:szCs w:val="24"/>
        </w:rPr>
      </w:pPr>
      <w:proofErr w:type="gramStart"/>
      <w:r>
        <w:rPr>
          <w:sz w:val="24"/>
          <w:szCs w:val="24"/>
        </w:rPr>
        <w:t xml:space="preserve">Melchoir-Bonnet, Sabine </w:t>
      </w:r>
      <w:r>
        <w:rPr>
          <w:i/>
          <w:iCs/>
          <w:sz w:val="24"/>
          <w:szCs w:val="24"/>
        </w:rPr>
        <w:t>The Mirror: A History,</w:t>
      </w:r>
      <w:r>
        <w:rPr>
          <w:sz w:val="24"/>
          <w:szCs w:val="24"/>
        </w:rPr>
        <w:t xml:space="preserve"> prijev.</w:t>
      </w:r>
      <w:proofErr w:type="gramEnd"/>
      <w:r>
        <w:rPr>
          <w:sz w:val="24"/>
          <w:szCs w:val="24"/>
        </w:rPr>
        <w:t xml:space="preserve"> Katherine H. Jewett, </w:t>
      </w:r>
      <w:r>
        <w:rPr>
          <w:sz w:val="24"/>
          <w:szCs w:val="24"/>
        </w:rPr>
        <w:t>London/New York: Routledge,</w:t>
      </w:r>
    </w:p>
    <w:p w:rsidR="00C809B3" w:rsidRDefault="0044601B">
      <w:pPr>
        <w:shd w:val="clear" w:color="auto" w:fill="FFFFFF"/>
        <w:spacing w:after="0" w:line="240" w:lineRule="auto"/>
        <w:jc w:val="both"/>
        <w:rPr>
          <w:sz w:val="24"/>
          <w:szCs w:val="24"/>
        </w:rPr>
      </w:pPr>
      <w:r>
        <w:rPr>
          <w:sz w:val="24"/>
          <w:szCs w:val="24"/>
        </w:rPr>
        <w:t>Steinberg, Leo. ‘Velázquez’ “Las Meninas”’</w:t>
      </w:r>
      <w:proofErr w:type="gramStart"/>
      <w:r>
        <w:rPr>
          <w:sz w:val="24"/>
          <w:szCs w:val="24"/>
        </w:rPr>
        <w:t>,</w:t>
      </w:r>
      <w:r>
        <w:rPr>
          <w:i/>
          <w:iCs/>
          <w:sz w:val="24"/>
          <w:szCs w:val="24"/>
        </w:rPr>
        <w:t>October</w:t>
      </w:r>
      <w:proofErr w:type="gramEnd"/>
      <w:r>
        <w:rPr>
          <w:i/>
          <w:iCs/>
          <w:sz w:val="24"/>
          <w:szCs w:val="24"/>
        </w:rPr>
        <w:t xml:space="preserve"> </w:t>
      </w:r>
      <w:r>
        <w:rPr>
          <w:sz w:val="24"/>
          <w:szCs w:val="24"/>
        </w:rPr>
        <w:t>19 (1981): 45-54.</w:t>
      </w:r>
    </w:p>
    <w:p w:rsidR="00C809B3" w:rsidRDefault="00C809B3">
      <w:pPr>
        <w:shd w:val="clear" w:color="auto" w:fill="FFFFFF"/>
        <w:spacing w:after="0" w:line="480" w:lineRule="auto"/>
        <w:jc w:val="both"/>
      </w:pPr>
    </w:p>
    <w:sectPr w:rsidR="00C809B3">
      <w:headerReference w:type="default" r:id="rId8"/>
      <w:footerReference w:type="default" r:id="rId9"/>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4601B">
      <w:pPr>
        <w:spacing w:after="0" w:line="240" w:lineRule="auto"/>
      </w:pPr>
      <w:r>
        <w:separator/>
      </w:r>
    </w:p>
  </w:endnote>
  <w:endnote w:type="continuationSeparator" w:id="0">
    <w:p w:rsidR="00000000" w:rsidRDefault="00446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9B3" w:rsidRDefault="00C809B3">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9B3" w:rsidRDefault="0044601B">
      <w:r>
        <w:separator/>
      </w:r>
    </w:p>
  </w:footnote>
  <w:footnote w:type="continuationSeparator" w:id="0">
    <w:p w:rsidR="00C809B3" w:rsidRDefault="0044601B">
      <w:r>
        <w:continuationSeparator/>
      </w:r>
    </w:p>
  </w:footnote>
  <w:footnote w:type="continuationNotice" w:id="1">
    <w:p w:rsidR="00C809B3" w:rsidRDefault="00C809B3"/>
  </w:footnote>
  <w:footnote w:id="2">
    <w:p w:rsidR="00C809B3" w:rsidRDefault="0044601B">
      <w:pPr>
        <w:pStyle w:val="Quote2"/>
        <w:shd w:val="clear" w:color="auto" w:fill="FFFFFF"/>
        <w:spacing w:line="200" w:lineRule="atLeast"/>
        <w:ind w:left="0" w:firstLine="0"/>
        <w:jc w:val="left"/>
      </w:pPr>
      <w:r>
        <w:rPr>
          <w:i w:val="0"/>
          <w:iCs w:val="0"/>
          <w:sz w:val="24"/>
          <w:szCs w:val="24"/>
          <w:shd w:val="clear" w:color="auto" w:fill="FFFFFF"/>
          <w:vertAlign w:val="superscript"/>
        </w:rPr>
        <w:footnoteRef/>
      </w:r>
      <w:r>
        <w:rPr>
          <w:i w:val="0"/>
          <w:iCs w:val="0"/>
        </w:rPr>
        <w:t xml:space="preserve"> Roland Barthes, </w:t>
      </w:r>
      <w:r>
        <w:t xml:space="preserve">Roland Barthes, </w:t>
      </w:r>
      <w:r>
        <w:rPr>
          <w:i w:val="0"/>
          <w:iCs w:val="0"/>
        </w:rPr>
        <w:t xml:space="preserve">trans. Richard Howard, </w:t>
      </w:r>
      <w:proofErr w:type="gramStart"/>
      <w:r>
        <w:rPr>
          <w:i w:val="0"/>
          <w:iCs w:val="0"/>
        </w:rPr>
        <w:t>London</w:t>
      </w:r>
      <w:proofErr w:type="gramEnd"/>
      <w:r>
        <w:rPr>
          <w:i w:val="0"/>
          <w:iCs w:val="0"/>
        </w:rPr>
        <w:t>/Basingstoke: Macmillan Press, 1977, p. 41.</w:t>
      </w:r>
      <w:r>
        <w:t xml:space="preserve"> </w:t>
      </w:r>
    </w:p>
  </w:footnote>
  <w:footnote w:id="3">
    <w:p w:rsidR="00C809B3" w:rsidRDefault="0044601B">
      <w:pPr>
        <w:shd w:val="clear" w:color="auto" w:fill="FFFFFF"/>
        <w:spacing w:after="0" w:line="240" w:lineRule="auto"/>
        <w:jc w:val="both"/>
      </w:pPr>
      <w:r>
        <w:rPr>
          <w:vertAlign w:val="superscript"/>
        </w:rPr>
        <w:footnoteRef/>
      </w:r>
      <w:r>
        <w:t xml:space="preserve"> Sabine Melchoir-Bonnet, </w:t>
      </w:r>
      <w:r>
        <w:rPr>
          <w:i/>
          <w:iCs/>
        </w:rPr>
        <w:t>The Mirror: A History,</w:t>
      </w:r>
      <w:r>
        <w:t xml:space="preserve"> trans. Katherine H. Jewett, London/New York: Routledge, 2006, p. 5. Similarly, Steinberg has defined it as a process; ‘I see you see me’</w:t>
      </w:r>
      <w:proofErr w:type="gramStart"/>
      <w:r>
        <w:t>.See</w:t>
      </w:r>
      <w:proofErr w:type="gramEnd"/>
      <w:r>
        <w:t xml:space="preserve">: </w:t>
      </w:r>
      <w:r>
        <w:rPr>
          <w:sz w:val="22"/>
          <w:szCs w:val="22"/>
        </w:rPr>
        <w:t xml:space="preserve">Leo Steinberg. ‘Velázquez’ “Las Meninas”’, </w:t>
      </w:r>
      <w:r>
        <w:rPr>
          <w:i/>
          <w:iCs/>
          <w:sz w:val="22"/>
          <w:szCs w:val="22"/>
        </w:rPr>
        <w:t xml:space="preserve">October </w:t>
      </w:r>
      <w:r>
        <w:rPr>
          <w:sz w:val="22"/>
          <w:szCs w:val="22"/>
        </w:rPr>
        <w:t>19 (1981): 45-54.</w:t>
      </w:r>
    </w:p>
  </w:footnote>
  <w:footnote w:id="4">
    <w:p w:rsidR="00C809B3" w:rsidRDefault="0044601B">
      <w:pPr>
        <w:pStyle w:val="tootnote"/>
      </w:pPr>
      <w:r>
        <w:rPr>
          <w:sz w:val="24"/>
          <w:szCs w:val="24"/>
          <w:vertAlign w:val="superscript"/>
        </w:rPr>
        <w:footnoteRef/>
      </w:r>
      <w:r>
        <w:rPr>
          <w:rFonts w:eastAsia="Arial Unicode MS" w:cs="Arial Unicode MS"/>
        </w:rPr>
        <w:t xml:space="preserve"> He produces a logical twist in which the identity of the subject equals only the self, A=A is negated, as non-A.</w:t>
      </w:r>
    </w:p>
  </w:footnote>
  <w:footnote w:id="5">
    <w:p w:rsidR="00C809B3" w:rsidRDefault="0044601B">
      <w:pPr>
        <w:pStyle w:val="FootnoteText"/>
      </w:pPr>
      <w:r>
        <w:rPr>
          <w:sz w:val="24"/>
          <w:szCs w:val="24"/>
          <w:shd w:val="clear" w:color="auto" w:fill="FFFFFF"/>
          <w:vertAlign w:val="superscript"/>
        </w:rPr>
        <w:footnoteRef/>
      </w:r>
      <w:r>
        <w:rPr>
          <w:rFonts w:eastAsia="Arial Unicode MS" w:cs="Arial Unicode MS"/>
        </w:rPr>
        <w:t xml:space="preserve"> Julia Kristeva, </w:t>
      </w:r>
      <w:r>
        <w:rPr>
          <w:rFonts w:eastAsia="Arial Unicode MS" w:cs="Arial Unicode MS"/>
          <w:i/>
          <w:iCs/>
        </w:rPr>
        <w:t>Powers of Horror, An Essay on Abjection</w:t>
      </w:r>
      <w:r>
        <w:rPr>
          <w:rFonts w:eastAsia="Arial Unicode MS" w:cs="Arial Unicode MS"/>
        </w:rPr>
        <w:t xml:space="preserve">, trans. Celine Louis Ferdinand, </w:t>
      </w:r>
      <w:proofErr w:type="gramStart"/>
      <w:r>
        <w:rPr>
          <w:rFonts w:eastAsia="Arial Unicode MS" w:cs="Arial Unicode MS"/>
        </w:rPr>
        <w:t>New</w:t>
      </w:r>
      <w:proofErr w:type="gramEnd"/>
      <w:r>
        <w:rPr>
          <w:rFonts w:eastAsia="Arial Unicode MS" w:cs="Arial Unicode MS"/>
        </w:rPr>
        <w:t xml:space="preserve"> York: University of Columbia Press, 1982. </w:t>
      </w:r>
    </w:p>
  </w:footnote>
  <w:footnote w:id="6">
    <w:p w:rsidR="00C809B3" w:rsidRDefault="0044601B">
      <w:pPr>
        <w:pStyle w:val="tootnote"/>
      </w:pPr>
      <w:r>
        <w:rPr>
          <w:sz w:val="24"/>
          <w:szCs w:val="24"/>
          <w:shd w:val="clear" w:color="auto" w:fill="FFFFFF"/>
          <w:vertAlign w:val="superscript"/>
        </w:rPr>
        <w:footnoteRef/>
      </w:r>
      <w:r>
        <w:rPr>
          <w:rFonts w:eastAsia="Arial Unicode MS" w:cs="Arial Unicode MS"/>
        </w:rPr>
        <w:t xml:space="preserve"> Kri</w:t>
      </w:r>
      <w:r>
        <w:rPr>
          <w:rFonts w:eastAsia="Arial Unicode MS" w:cs="Arial Unicode MS"/>
        </w:rPr>
        <w:t xml:space="preserve">steva, </w:t>
      </w:r>
      <w:r>
        <w:rPr>
          <w:rFonts w:eastAsia="Arial Unicode MS" w:cs="Arial Unicode MS"/>
          <w:i/>
          <w:iCs/>
        </w:rPr>
        <w:t>Powers of Horror</w:t>
      </w:r>
      <w:r>
        <w:rPr>
          <w:rFonts w:eastAsia="Arial Unicode MS" w:cs="Arial Unicode MS"/>
        </w:rPr>
        <w:t xml:space="preserve">. </w:t>
      </w:r>
    </w:p>
  </w:footnote>
  <w:footnote w:id="7">
    <w:p w:rsidR="00C809B3" w:rsidRDefault="0044601B">
      <w:pPr>
        <w:shd w:val="clear" w:color="auto" w:fill="FFFFFF"/>
        <w:spacing w:after="0" w:line="240" w:lineRule="auto"/>
        <w:jc w:val="both"/>
      </w:pPr>
      <w:r>
        <w:rPr>
          <w:sz w:val="24"/>
          <w:szCs w:val="24"/>
          <w:shd w:val="clear" w:color="auto" w:fill="FFFFFF"/>
          <w:vertAlign w:val="superscript"/>
        </w:rPr>
        <w:footnoteRef/>
      </w:r>
      <w:r>
        <w:t xml:space="preserve"> Similarly, Hall notes; ‘For Plotinus self-portrait is produced not by looking at a mirror, but withdrawing into the self’</w:t>
      </w:r>
      <w:proofErr w:type="gramStart"/>
      <w:r>
        <w:t>.See</w:t>
      </w:r>
      <w:proofErr w:type="gramEnd"/>
      <w:r>
        <w:t xml:space="preserve">: </w:t>
      </w:r>
      <w:r>
        <w:rPr>
          <w:sz w:val="22"/>
          <w:szCs w:val="22"/>
        </w:rPr>
        <w:t xml:space="preserve">James Hall. </w:t>
      </w:r>
      <w:r>
        <w:rPr>
          <w:i/>
          <w:iCs/>
          <w:sz w:val="22"/>
          <w:szCs w:val="22"/>
        </w:rPr>
        <w:t>The Self-Portrait: A Cultural History</w:t>
      </w:r>
      <w:r>
        <w:rPr>
          <w:sz w:val="22"/>
          <w:szCs w:val="22"/>
        </w:rPr>
        <w:t xml:space="preserve">, London: Thames and Hudson, 2014. </w:t>
      </w:r>
      <w:r>
        <w:t>p. 19.</w:t>
      </w:r>
    </w:p>
  </w:footnote>
  <w:footnote w:id="8">
    <w:p w:rsidR="00C809B3" w:rsidRDefault="0044601B">
      <w:pPr>
        <w:pStyle w:val="Quote2"/>
        <w:shd w:val="clear" w:color="auto" w:fill="FFFFFF"/>
        <w:spacing w:line="200" w:lineRule="atLeast"/>
        <w:ind w:left="0" w:firstLine="0"/>
        <w:jc w:val="left"/>
      </w:pPr>
      <w:r>
        <w:rPr>
          <w:sz w:val="24"/>
          <w:szCs w:val="24"/>
          <w:shd w:val="clear" w:color="auto" w:fill="FFFFFF"/>
          <w:vertAlign w:val="superscript"/>
        </w:rPr>
        <w:footnoteRef/>
      </w:r>
      <w:r>
        <w:t xml:space="preserve"> </w:t>
      </w:r>
      <w:r>
        <w:rPr>
          <w:i w:val="0"/>
          <w:iCs w:val="0"/>
        </w:rPr>
        <w:t>Exhibiti</w:t>
      </w:r>
      <w:r>
        <w:rPr>
          <w:i w:val="0"/>
          <w:iCs w:val="0"/>
        </w:rPr>
        <w:t xml:space="preserve">on Memoirs of the Blind, Criticizing Ocularcentrism, consisted of 43 drawings, mainly self-portraits, little representation of blindness and one of a ruin.  It was presented in the Louvre Museum, 1990-91. </w:t>
      </w:r>
    </w:p>
  </w:footnote>
  <w:footnote w:id="9">
    <w:p w:rsidR="00C809B3" w:rsidRDefault="0044601B">
      <w:pPr>
        <w:spacing w:after="0"/>
      </w:pPr>
      <w:r>
        <w:rPr>
          <w:sz w:val="24"/>
          <w:szCs w:val="24"/>
          <w:shd w:val="clear" w:color="auto" w:fill="FFFFFF"/>
          <w:vertAlign w:val="superscript"/>
        </w:rPr>
        <w:footnoteRef/>
      </w:r>
      <w:r>
        <w:t xml:space="preserve"> This paradox is clearer distinguishing the self-</w:t>
      </w:r>
      <w:r>
        <w:t xml:space="preserve">picture, which a blind person does not have from the kind of self-image they do. </w:t>
      </w:r>
    </w:p>
  </w:footnote>
  <w:footnote w:id="10">
    <w:p w:rsidR="00C809B3" w:rsidRDefault="0044601B">
      <w:pPr>
        <w:spacing w:after="0"/>
      </w:pPr>
      <w:r>
        <w:rPr>
          <w:sz w:val="24"/>
          <w:szCs w:val="24"/>
          <w:shd w:val="clear" w:color="auto" w:fill="FFFFFF"/>
          <w:vertAlign w:val="superscript"/>
        </w:rPr>
        <w:footnoteRef/>
      </w:r>
      <w:r>
        <w:t xml:space="preserve"> Depending on the essence of our existence, we can claim to be able to be at one or two places; to be physically, or to be mentally with the </w:t>
      </w:r>
      <w:proofErr w:type="gramStart"/>
      <w:r>
        <w:t>Other</w:t>
      </w:r>
      <w:proofErr w:type="gramEnd"/>
      <w:r>
        <w:t>. The myth of Narcissus has</w:t>
      </w:r>
      <w:r>
        <w:t xml:space="preserve"> shown that it is possible to be doubled at once in the wicked universe.</w:t>
      </w:r>
    </w:p>
  </w:footnote>
  <w:footnote w:id="11">
    <w:p w:rsidR="00C809B3" w:rsidRDefault="0044601B">
      <w:pPr>
        <w:pStyle w:val="Quote2"/>
        <w:shd w:val="clear" w:color="auto" w:fill="FFFFFF"/>
        <w:spacing w:line="200" w:lineRule="atLeast"/>
        <w:ind w:left="0" w:firstLine="0"/>
        <w:jc w:val="left"/>
      </w:pPr>
      <w:r>
        <w:rPr>
          <w:sz w:val="24"/>
          <w:szCs w:val="24"/>
          <w:shd w:val="clear" w:color="auto" w:fill="FFFFFF"/>
          <w:vertAlign w:val="superscript"/>
        </w:rPr>
        <w:footnoteRef/>
      </w:r>
      <w:r>
        <w:rPr>
          <w:i w:val="0"/>
          <w:iCs w:val="0"/>
        </w:rPr>
        <w:t xml:space="preserve"> Jacques Derrida, </w:t>
      </w:r>
      <w:r>
        <w:t>Memoirs of the Blind: The Self-Portrait and Other Ruins</w:t>
      </w:r>
      <w:r>
        <w:rPr>
          <w:i w:val="0"/>
          <w:iCs w:val="0"/>
        </w:rPr>
        <w:t>, trans. Pascale-Anne Brault and Michael Naas, Chicago/London: University of Chicago Press, 1993, p. 12</w:t>
      </w:r>
      <w:r>
        <w:t>.</w:t>
      </w:r>
    </w:p>
  </w:footnote>
  <w:footnote w:id="12">
    <w:p w:rsidR="00C809B3" w:rsidRDefault="0044601B">
      <w:pPr>
        <w:pStyle w:val="tootnote"/>
      </w:pPr>
      <w:r>
        <w:rPr>
          <w:sz w:val="24"/>
          <w:szCs w:val="24"/>
          <w:shd w:val="clear" w:color="auto" w:fill="FFFFFF"/>
          <w:vertAlign w:val="superscript"/>
        </w:rPr>
        <w:footnoteRef/>
      </w:r>
      <w:r>
        <w:rPr>
          <w:rFonts w:eastAsia="Arial Unicode MS" w:cs="Arial Unicode MS"/>
        </w:rPr>
        <w:t xml:space="preserve"> Da</w:t>
      </w:r>
      <w:r>
        <w:rPr>
          <w:rFonts w:eastAsia="Arial Unicode MS" w:cs="Arial Unicode MS"/>
        </w:rPr>
        <w:t xml:space="preserve">misch distinguishes between paintings and mirrors, saying that </w:t>
      </w:r>
      <w:r>
        <w:rPr>
          <w:rFonts w:eastAsia="Arial Unicode MS" w:cs="Arial Unicode MS"/>
        </w:rPr>
        <w:t>‘</w:t>
      </w:r>
      <w:r>
        <w:rPr>
          <w:rFonts w:eastAsia="Arial Unicode MS" w:cs="Arial Unicode MS"/>
        </w:rPr>
        <w:t>Painting shows, mirror demonstrates,</w:t>
      </w:r>
      <w:r>
        <w:rPr>
          <w:rFonts w:eastAsia="Arial Unicode MS" w:cs="Arial Unicode MS"/>
        </w:rPr>
        <w:t xml:space="preserve">’ </w:t>
      </w:r>
      <w:r>
        <w:rPr>
          <w:rFonts w:eastAsia="Arial Unicode MS" w:cs="Arial Unicode MS"/>
        </w:rPr>
        <w:t>interpreting Antonio di Pietro Averlino Filarete</w:t>
      </w:r>
      <w:r>
        <w:rPr>
          <w:rFonts w:eastAsia="Arial Unicode MS" w:cs="Arial Unicode MS"/>
        </w:rPr>
        <w:t>’</w:t>
      </w:r>
      <w:r>
        <w:rPr>
          <w:rFonts w:eastAsia="Arial Unicode MS" w:cs="Arial Unicode MS"/>
        </w:rPr>
        <w:t xml:space="preserve">s idea that in </w:t>
      </w:r>
      <w:r>
        <w:rPr>
          <w:rFonts w:eastAsia="Arial Unicode MS" w:cs="Arial Unicode MS"/>
        </w:rPr>
        <w:t>‘</w:t>
      </w:r>
      <w:r>
        <w:rPr>
          <w:rFonts w:eastAsia="Arial Unicode MS" w:cs="Arial Unicode MS"/>
          <w:i/>
          <w:iCs/>
        </w:rPr>
        <w:t>specchio ti si demonstra</w:t>
      </w:r>
      <w:r>
        <w:rPr>
          <w:rFonts w:eastAsia="Arial Unicode MS" w:cs="Arial Unicode MS"/>
        </w:rPr>
        <w:t>’</w:t>
      </w:r>
      <w:r>
        <w:rPr>
          <w:rFonts w:eastAsia="Arial Unicode MS" w:cs="Arial Unicode MS"/>
        </w:rPr>
        <w:t>, Damisch deconstructs de-mostra (mostra as exhibition) to empha</w:t>
      </w:r>
      <w:r>
        <w:rPr>
          <w:rFonts w:eastAsia="Arial Unicode MS" w:cs="Arial Unicode MS"/>
        </w:rPr>
        <w:t xml:space="preserve">size the difference of demonstration and exposition. </w:t>
      </w:r>
      <w:r>
        <w:rPr>
          <w:rFonts w:eastAsia="Arial Unicode MS" w:cs="Arial Unicode MS"/>
          <w:sz w:val="22"/>
          <w:szCs w:val="22"/>
        </w:rPr>
        <w:t xml:space="preserve">Hubert Damisch, </w:t>
      </w:r>
      <w:r>
        <w:rPr>
          <w:rFonts w:eastAsia="Arial Unicode MS" w:cs="Arial Unicode MS"/>
          <w:i/>
          <w:iCs/>
          <w:sz w:val="22"/>
          <w:szCs w:val="22"/>
        </w:rPr>
        <w:t>The Origin of Perspective</w:t>
      </w:r>
      <w:r>
        <w:rPr>
          <w:rFonts w:eastAsia="Arial Unicode MS" w:cs="Arial Unicode MS"/>
          <w:sz w:val="22"/>
          <w:szCs w:val="22"/>
        </w:rPr>
        <w:t>, trans. John Goodman, Cambridge and London: MIT Press, 1995 (1987).</w:t>
      </w:r>
      <w:r>
        <w:rPr>
          <w:rFonts w:eastAsia="Arial Unicode MS" w:cs="Arial Unicode MS"/>
          <w:shd w:val="clear" w:color="auto" w:fill="FFFFFF"/>
        </w:rPr>
        <w:t xml:space="preserve"> </w:t>
      </w:r>
    </w:p>
  </w:footnote>
  <w:footnote w:id="13">
    <w:p w:rsidR="00C809B3" w:rsidRDefault="0044601B">
      <w:pPr>
        <w:pStyle w:val="FootnoteText"/>
      </w:pPr>
      <w:r>
        <w:rPr>
          <w:sz w:val="24"/>
          <w:szCs w:val="24"/>
          <w:shd w:val="clear" w:color="auto" w:fill="FFFFFF"/>
          <w:vertAlign w:val="superscript"/>
        </w:rPr>
        <w:footnoteRef/>
      </w:r>
      <w:r>
        <w:rPr>
          <w:rFonts w:eastAsia="Arial Unicode MS" w:cs="Arial Unicode MS"/>
        </w:rPr>
        <w:t xml:space="preserve"> Derrida, </w:t>
      </w:r>
      <w:r>
        <w:rPr>
          <w:rFonts w:eastAsia="Arial Unicode MS" w:cs="Arial Unicode MS"/>
          <w:i/>
          <w:iCs/>
        </w:rPr>
        <w:t>Memoirs of the Blind</w:t>
      </w:r>
      <w:r>
        <w:rPr>
          <w:rFonts w:eastAsia="Arial Unicode MS" w:cs="Arial Unicode MS"/>
        </w:rPr>
        <w:t xml:space="preserve">. </w:t>
      </w:r>
    </w:p>
  </w:footnote>
  <w:footnote w:id="14">
    <w:p w:rsidR="00C809B3" w:rsidRDefault="0044601B">
      <w:pPr>
        <w:pStyle w:val="tootnote"/>
      </w:pPr>
      <w:r>
        <w:rPr>
          <w:sz w:val="24"/>
          <w:szCs w:val="24"/>
          <w:shd w:val="clear" w:color="auto" w:fill="FFFFFF"/>
          <w:vertAlign w:val="superscript"/>
        </w:rPr>
        <w:footnoteRef/>
      </w:r>
      <w:r>
        <w:rPr>
          <w:rFonts w:eastAsia="Arial Unicode MS" w:cs="Arial Unicode MS"/>
        </w:rPr>
        <w:t xml:space="preserve"> Blindness as an idea was already announced by Bataille</w:t>
      </w:r>
      <w:r>
        <w:rPr>
          <w:rFonts w:eastAsia="Arial Unicode MS" w:cs="Arial Unicode MS"/>
        </w:rPr>
        <w:t>’</w:t>
      </w:r>
      <w:r>
        <w:rPr>
          <w:rFonts w:eastAsia="Arial Unicode MS" w:cs="Arial Unicode MS"/>
        </w:rPr>
        <w:t xml:space="preserve">s </w:t>
      </w:r>
      <w:r>
        <w:rPr>
          <w:rFonts w:eastAsia="Arial Unicode MS" w:cs="Arial Unicode MS"/>
        </w:rPr>
        <w:t>‘</w:t>
      </w:r>
      <w:r>
        <w:rPr>
          <w:rFonts w:eastAsia="Arial Unicode MS" w:cs="Arial Unicode MS"/>
        </w:rPr>
        <w:t>Pinneal Eye</w:t>
      </w:r>
      <w:r>
        <w:rPr>
          <w:rFonts w:eastAsia="Arial Unicode MS" w:cs="Arial Unicode MS"/>
        </w:rPr>
        <w:t xml:space="preserve">’ </w:t>
      </w:r>
      <w:r>
        <w:rPr>
          <w:rFonts w:eastAsia="Arial Unicode MS" w:cs="Arial Unicode MS"/>
        </w:rPr>
        <w:t xml:space="preserve">in </w:t>
      </w:r>
      <w:r>
        <w:rPr>
          <w:rFonts w:eastAsia="Arial Unicode MS" w:cs="Arial Unicode MS"/>
          <w:i/>
          <w:iCs/>
        </w:rPr>
        <w:t>Story of the Eye</w:t>
      </w:r>
      <w:r>
        <w:rPr>
          <w:rFonts w:eastAsia="Arial Unicode MS" w:cs="Arial Unicode MS"/>
        </w:rPr>
        <w:t>, and based on Freud</w:t>
      </w:r>
      <w:r>
        <w:rPr>
          <w:rFonts w:eastAsia="Arial Unicode MS" w:cs="Arial Unicode MS"/>
        </w:rPr>
        <w:t>’</w:t>
      </w:r>
      <w:r>
        <w:rPr>
          <w:rFonts w:eastAsia="Arial Unicode MS" w:cs="Arial Unicode MS"/>
        </w:rPr>
        <w:t>s idea of visual castration. See:</w:t>
      </w:r>
      <w:r>
        <w:rPr>
          <w:rFonts w:eastAsia="Arial Unicode MS" w:cs="Arial Unicode MS"/>
          <w:sz w:val="22"/>
          <w:szCs w:val="22"/>
        </w:rPr>
        <w:t xml:space="preserve"> Martin Jay, </w:t>
      </w:r>
      <w:r>
        <w:rPr>
          <w:rFonts w:eastAsia="Arial Unicode MS" w:cs="Arial Unicode MS"/>
          <w:i/>
          <w:iCs/>
          <w:sz w:val="22"/>
          <w:szCs w:val="22"/>
        </w:rPr>
        <w:t>Downcast Eyes: The Denigration of Vision in Twentieth-Century French Thought</w:t>
      </w:r>
      <w:r>
        <w:rPr>
          <w:rFonts w:eastAsia="Arial Unicode MS" w:cs="Arial Unicode MS"/>
          <w:i/>
          <w:iCs/>
        </w:rPr>
        <w:t>s</w:t>
      </w:r>
      <w:r>
        <w:rPr>
          <w:rFonts w:eastAsia="Arial Unicode MS" w:cs="Arial Unicode MS"/>
        </w:rPr>
        <w:t xml:space="preserve">, and Georges Bataille, </w:t>
      </w:r>
      <w:r>
        <w:rPr>
          <w:rFonts w:eastAsia="Arial Unicode MS" w:cs="Arial Unicode MS"/>
          <w:i/>
          <w:iCs/>
        </w:rPr>
        <w:t>Story of the Eye</w:t>
      </w:r>
      <w:r>
        <w:rPr>
          <w:rFonts w:eastAsia="Arial Unicode MS" w:cs="Arial Unicode MS"/>
        </w:rPr>
        <w:t xml:space="preserve">, trans. </w:t>
      </w:r>
      <w:hyperlink r:id="rId1" w:history="1">
        <w:r>
          <w:rPr>
            <w:rStyle w:val="Hyperlink0"/>
            <w:rFonts w:eastAsia="Arial Unicode MS" w:cs="Arial Unicode MS"/>
          </w:rPr>
          <w:t>Dovid Bergelson</w:t>
        </w:r>
      </w:hyperlink>
      <w:r>
        <w:rPr>
          <w:rFonts w:eastAsia="Arial Unicode MS" w:cs="Arial Unicode MS"/>
        </w:rPr>
        <w:t xml:space="preserve">, Penguin Classics, 2001 (1928). </w:t>
      </w:r>
    </w:p>
  </w:footnote>
  <w:footnote w:id="15">
    <w:p w:rsidR="00C809B3" w:rsidRDefault="0044601B">
      <w:pPr>
        <w:pStyle w:val="EndNoteBibliography"/>
        <w:shd w:val="clear" w:color="auto" w:fill="FFFFFF"/>
        <w:spacing w:line="200" w:lineRule="atLeast"/>
      </w:pPr>
      <w:r>
        <w:rPr>
          <w:sz w:val="24"/>
          <w:szCs w:val="24"/>
          <w:shd w:val="clear" w:color="auto" w:fill="FFFFFF"/>
          <w:vertAlign w:val="superscript"/>
        </w:rPr>
        <w:footnoteRef/>
      </w:r>
      <w:r>
        <w:t xml:space="preserve"> Jacques </w:t>
      </w:r>
      <w:r>
        <w:rPr>
          <w:shd w:val="clear" w:color="auto" w:fill="FFFFFF"/>
        </w:rPr>
        <w:t xml:space="preserve">Derrida, </w:t>
      </w:r>
      <w:r>
        <w:rPr>
          <w:i/>
          <w:iCs/>
          <w:shd w:val="clear" w:color="auto" w:fill="FFFFFF"/>
        </w:rPr>
        <w:t>Copy, Archive, Signature – a Conversation on Photography</w:t>
      </w:r>
      <w:r>
        <w:rPr>
          <w:i/>
          <w:iCs/>
          <w:shd w:val="clear" w:color="auto" w:fill="FFFFFF"/>
        </w:rPr>
        <w:t xml:space="preserve">, </w:t>
      </w:r>
      <w:r>
        <w:rPr>
          <w:shd w:val="clear" w:color="auto" w:fill="FFFFFF"/>
        </w:rPr>
        <w:t>trans. Jeff fort,</w:t>
      </w:r>
      <w:r>
        <w:rPr>
          <w:i/>
          <w:iCs/>
          <w:shd w:val="clear" w:color="auto" w:fill="FFFFFF"/>
        </w:rPr>
        <w:t xml:space="preserve"> </w:t>
      </w:r>
      <w:r>
        <w:rPr>
          <w:shd w:val="clear" w:color="auto" w:fill="FFFFFF"/>
        </w:rPr>
        <w:t xml:space="preserve">Redwood City: Stanford University Press, 2010. </w:t>
      </w:r>
    </w:p>
  </w:footnote>
  <w:footnote w:id="16">
    <w:p w:rsidR="00C809B3" w:rsidRDefault="0044601B">
      <w:pPr>
        <w:pStyle w:val="tootnote"/>
      </w:pPr>
      <w:r>
        <w:rPr>
          <w:sz w:val="24"/>
          <w:szCs w:val="24"/>
          <w:shd w:val="clear" w:color="auto" w:fill="FFFFFF"/>
          <w:vertAlign w:val="superscript"/>
        </w:rPr>
        <w:footnoteRef/>
      </w:r>
      <w:r>
        <w:rPr>
          <w:rFonts w:eastAsia="Arial Unicode MS" w:cs="Arial Unicode MS"/>
        </w:rPr>
        <w:t xml:space="preserve"> Derrida, </w:t>
      </w:r>
      <w:r>
        <w:rPr>
          <w:rFonts w:eastAsia="Arial Unicode MS" w:cs="Arial Unicode MS"/>
          <w:i/>
          <w:iCs/>
        </w:rPr>
        <w:t>Copy, Archive, Signature</w:t>
      </w:r>
      <w:r>
        <w:rPr>
          <w:rFonts w:eastAsia="Arial Unicode MS" w:cs="Arial Unicode MS"/>
        </w:rPr>
        <w:t>.</w:t>
      </w:r>
    </w:p>
  </w:footnote>
  <w:footnote w:id="17">
    <w:p w:rsidR="00C809B3" w:rsidRDefault="0044601B">
      <w:pPr>
        <w:pStyle w:val="Quote2"/>
        <w:shd w:val="clear" w:color="auto" w:fill="FFFFFF"/>
        <w:spacing w:line="200" w:lineRule="atLeast"/>
        <w:ind w:left="0" w:firstLine="0"/>
        <w:jc w:val="left"/>
      </w:pPr>
      <w:r>
        <w:rPr>
          <w:i w:val="0"/>
          <w:iCs w:val="0"/>
          <w:shd w:val="clear" w:color="auto" w:fill="FFFFFF"/>
          <w:vertAlign w:val="superscript"/>
        </w:rPr>
        <w:footnoteRef/>
      </w:r>
      <w:r>
        <w:rPr>
          <w:i w:val="0"/>
          <w:iCs w:val="0"/>
          <w:shd w:val="clear" w:color="auto" w:fill="FFFFFF"/>
          <w:lang w:val="it-IT"/>
        </w:rPr>
        <w:t xml:space="preserve"> </w:t>
      </w:r>
      <w:r>
        <w:rPr>
          <w:i w:val="0"/>
          <w:iCs w:val="0"/>
          <w:lang w:val="it-IT"/>
        </w:rPr>
        <w:t xml:space="preserve">Derrida, </w:t>
      </w:r>
      <w:r>
        <w:rPr>
          <w:lang w:val="it-IT"/>
        </w:rPr>
        <w:t xml:space="preserve">Copy, </w:t>
      </w:r>
      <w:proofErr w:type="gramStart"/>
      <w:r>
        <w:rPr>
          <w:lang w:val="it-IT"/>
        </w:rPr>
        <w:t>Archive</w:t>
      </w:r>
      <w:proofErr w:type="gramEnd"/>
      <w:r>
        <w:rPr>
          <w:lang w:val="it-IT"/>
        </w:rPr>
        <w:t>, Signature</w:t>
      </w:r>
      <w:r>
        <w:rPr>
          <w:i w:val="0"/>
          <w:iCs w:val="0"/>
          <w:lang w:val="it-IT"/>
        </w:rPr>
        <w:t>, p. 31.</w:t>
      </w:r>
    </w:p>
  </w:footnote>
  <w:footnote w:id="18">
    <w:p w:rsidR="00C809B3" w:rsidRDefault="0044601B">
      <w:pPr>
        <w:pStyle w:val="EndNoteBibliography"/>
        <w:shd w:val="clear" w:color="auto" w:fill="FFFFFF"/>
        <w:spacing w:line="200" w:lineRule="atLeast"/>
      </w:pPr>
      <w:r>
        <w:rPr>
          <w:sz w:val="24"/>
          <w:szCs w:val="24"/>
          <w:shd w:val="clear" w:color="auto" w:fill="FFFFFF"/>
          <w:vertAlign w:val="superscript"/>
        </w:rPr>
        <w:footnoteRef/>
      </w:r>
      <w:r>
        <w:rPr>
          <w:shd w:val="clear" w:color="auto" w:fill="FFFFFF"/>
        </w:rPr>
        <w:t xml:space="preserve"> Henry Fox Talbot, </w:t>
      </w:r>
      <w:r>
        <w:rPr>
          <w:i/>
          <w:iCs/>
          <w:shd w:val="clear" w:color="auto" w:fill="FFFFFF"/>
        </w:rPr>
        <w:t>Pencil of Nature</w:t>
      </w:r>
      <w:r>
        <w:rPr>
          <w:shd w:val="clear" w:color="auto" w:fill="FFFFFF"/>
        </w:rPr>
        <w:t xml:space="preserve">, London: Longman, Brown, Green and Longmans, Project Gutenberg, 2010 </w:t>
      </w:r>
      <w:r>
        <w:rPr>
          <w:shd w:val="clear" w:color="auto" w:fill="FFFFFF"/>
        </w:rPr>
        <w:t>(1844).</w:t>
      </w:r>
    </w:p>
  </w:footnote>
  <w:footnote w:id="19">
    <w:p w:rsidR="00C809B3" w:rsidRDefault="0044601B">
      <w:pPr>
        <w:pStyle w:val="FootnoteText"/>
      </w:pPr>
      <w:r>
        <w:rPr>
          <w:sz w:val="24"/>
          <w:szCs w:val="24"/>
          <w:shd w:val="clear" w:color="auto" w:fill="FFFFFF"/>
          <w:vertAlign w:val="superscript"/>
        </w:rPr>
        <w:footnoteRef/>
      </w:r>
      <w:r>
        <w:rPr>
          <w:rFonts w:eastAsia="Arial Unicode MS" w:cs="Arial Unicode MS"/>
        </w:rPr>
        <w:t xml:space="preserve"> Derrida, </w:t>
      </w:r>
      <w:r>
        <w:rPr>
          <w:rFonts w:eastAsia="Arial Unicode MS" w:cs="Arial Unicode MS"/>
          <w:i/>
          <w:iCs/>
        </w:rPr>
        <w:t>Memoirs of the Blind</w:t>
      </w:r>
      <w:r>
        <w:rPr>
          <w:rFonts w:eastAsia="Arial Unicode MS" w:cs="Arial Unicode MS"/>
        </w:rPr>
        <w:t xml:space="preserve">.  </w:t>
      </w:r>
    </w:p>
  </w:footnote>
  <w:footnote w:id="20">
    <w:p w:rsidR="00C809B3" w:rsidRDefault="0044601B">
      <w:pPr>
        <w:pStyle w:val="tootnote"/>
      </w:pPr>
      <w:r>
        <w:rPr>
          <w:sz w:val="24"/>
          <w:szCs w:val="24"/>
          <w:shd w:val="clear" w:color="auto" w:fill="FFFFFF"/>
          <w:vertAlign w:val="superscript"/>
        </w:rPr>
        <w:footnoteRef/>
      </w:r>
      <w:r>
        <w:rPr>
          <w:rFonts w:eastAsia="Arial Unicode MS" w:cs="Arial Unicode MS"/>
        </w:rPr>
        <w:t xml:space="preserve"> In addition to Kittler</w:t>
      </w:r>
      <w:r>
        <w:rPr>
          <w:rFonts w:eastAsia="Arial Unicode MS" w:cs="Arial Unicode MS"/>
        </w:rPr>
        <w:t>’</w:t>
      </w:r>
      <w:r>
        <w:rPr>
          <w:rFonts w:eastAsia="Arial Unicode MS" w:cs="Arial Unicode MS"/>
        </w:rPr>
        <w:t xml:space="preserve">s storage and broadcast media, another media defines human culture, usually neglected </w:t>
      </w:r>
      <w:r>
        <w:rPr>
          <w:rFonts w:eastAsia="Arial Unicode MS" w:cs="Arial Unicode MS"/>
        </w:rPr>
        <w:t xml:space="preserve">– </w:t>
      </w:r>
      <w:r>
        <w:rPr>
          <w:rFonts w:eastAsia="Arial Unicode MS" w:cs="Arial Unicode MS"/>
        </w:rPr>
        <w:t>the media of self-reflection. Kittler distinguishes between media as storage, transmission and proce</w:t>
      </w:r>
      <w:r>
        <w:rPr>
          <w:rFonts w:eastAsia="Arial Unicode MS" w:cs="Arial Unicode MS"/>
        </w:rPr>
        <w:t xml:space="preserve">ssing, defining the revolution of the digital image as the revolution of transmission of image. Friedrich Kittler, </w:t>
      </w:r>
      <w:r>
        <w:rPr>
          <w:rFonts w:eastAsia="Arial Unicode MS" w:cs="Arial Unicode MS"/>
          <w:i/>
          <w:iCs/>
        </w:rPr>
        <w:t>Optical media</w:t>
      </w:r>
      <w:r>
        <w:rPr>
          <w:rFonts w:eastAsia="Arial Unicode MS" w:cs="Arial Unicode MS"/>
        </w:rPr>
        <w:t xml:space="preserve">: </w:t>
      </w:r>
      <w:r>
        <w:rPr>
          <w:rFonts w:eastAsia="Arial Unicode MS" w:cs="Arial Unicode MS"/>
          <w:i/>
          <w:iCs/>
        </w:rPr>
        <w:t>Berlin lectures 1999,</w:t>
      </w:r>
      <w:r>
        <w:rPr>
          <w:rFonts w:eastAsia="Arial Unicode MS" w:cs="Arial Unicode MS"/>
        </w:rPr>
        <w:t xml:space="preserve"> trans. Anthony Enns, Cambridge/Walden: Polity, 2010. </w:t>
      </w:r>
    </w:p>
  </w:footnote>
  <w:footnote w:id="21">
    <w:p w:rsidR="00C809B3" w:rsidRDefault="0044601B">
      <w:pPr>
        <w:pStyle w:val="tootnote"/>
      </w:pPr>
      <w:r>
        <w:rPr>
          <w:sz w:val="24"/>
          <w:szCs w:val="24"/>
          <w:shd w:val="clear" w:color="auto" w:fill="FFFFFF"/>
          <w:vertAlign w:val="superscript"/>
        </w:rPr>
        <w:footnoteRef/>
      </w:r>
      <w:r>
        <w:rPr>
          <w:rFonts w:eastAsia="Arial Unicode MS" w:cs="Arial Unicode MS"/>
        </w:rPr>
        <w:t xml:space="preserve"> Finally, the medium of self-reflection can be na</w:t>
      </w:r>
      <w:r>
        <w:rPr>
          <w:rFonts w:eastAsia="Arial Unicode MS" w:cs="Arial Unicode MS"/>
        </w:rPr>
        <w:t>tural and artificial, single directed and interactive. Memory, water, and mirror are natural, while photography, video, film and web are artificial.</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9B3" w:rsidRDefault="00C809B3">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grammar="clean"/>
  <w:defaultTabStop w:val="708"/>
  <w:characterSpacingControl w:val="doNotCompress"/>
  <w:footnotePr>
    <w:footnote w:id="-1"/>
    <w:footnote w:id="0"/>
    <w:footnote w:id="1"/>
  </w:footnotePr>
  <w:endnotePr>
    <w:endnote w:id="-1"/>
    <w:endnote w:id="0"/>
  </w:endnotePr>
  <w:compat>
    <w:useFELayout/>
    <w:compatSetting w:name="compatibilityMode" w:uri="http://schemas.microsoft.com/office/word" w:val="14"/>
  </w:compat>
  <w:rsids>
    <w:rsidRoot w:val="00C809B3"/>
    <w:rsid w:val="0044601B"/>
    <w:rsid w:val="00C809B3"/>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hr-HR"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160" w:line="252" w:lineRule="auto"/>
    </w:pPr>
    <w:rPr>
      <w:rFonts w:eastAsia="Times New Roman"/>
      <w:color w:val="000000"/>
      <w:u w:color="000000"/>
      <w:lang w:val="en-US"/>
    </w:rPr>
  </w:style>
  <w:style w:type="paragraph" w:styleId="Heading2">
    <w:name w:val="heading 2"/>
    <w:pPr>
      <w:keepNext/>
      <w:suppressAutoHyphens/>
      <w:spacing w:before="240" w:after="120" w:line="360" w:lineRule="auto"/>
      <w:ind w:left="576" w:hanging="576"/>
      <w:outlineLvl w:val="1"/>
    </w:pPr>
    <w:rPr>
      <w:rFonts w:cs="Arial Unicode MS"/>
      <w:color w:val="000000"/>
      <w:u w:color="000000"/>
      <w:lang w:val="en-US"/>
    </w:rPr>
  </w:style>
  <w:style w:type="paragraph" w:styleId="Heading3">
    <w:name w:val="heading 3"/>
    <w:next w:val="Normal"/>
    <w:pPr>
      <w:keepNext/>
      <w:shd w:val="clear" w:color="auto" w:fill="FFFFFF"/>
      <w:tabs>
        <w:tab w:val="left" w:pos="360"/>
      </w:tabs>
      <w:suppressAutoHyphens/>
      <w:spacing w:line="480" w:lineRule="auto"/>
      <w:jc w:val="both"/>
      <w:outlineLvl w:val="2"/>
    </w:pPr>
    <w:rPr>
      <w:rFonts w:cs="Arial Unicode MS"/>
      <w:b/>
      <w:bCs/>
      <w:color w:val="000000"/>
      <w:spacing w:val="5"/>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BodyText">
    <w:name w:val="Body Text"/>
    <w:pPr>
      <w:suppressAutoHyphens/>
      <w:spacing w:after="120" w:line="252" w:lineRule="auto"/>
    </w:pPr>
    <w:rPr>
      <w:rFonts w:eastAsia="Times New Roman"/>
      <w:color w:val="000000"/>
      <w:u w:color="000000"/>
      <w:lang w:val="en-US"/>
    </w:rPr>
  </w:style>
  <w:style w:type="paragraph" w:customStyle="1" w:styleId="Quote2">
    <w:name w:val="Quote2"/>
    <w:pPr>
      <w:suppressAutoHyphens/>
      <w:ind w:left="720" w:firstLine="1134"/>
      <w:jc w:val="both"/>
    </w:pPr>
    <w:rPr>
      <w:rFonts w:cs="Arial Unicode MS"/>
      <w:i/>
      <w:iCs/>
      <w:color w:val="000000"/>
      <w:u w:color="000000"/>
      <w:lang w:val="en-US"/>
    </w:rPr>
  </w:style>
  <w:style w:type="paragraph" w:customStyle="1" w:styleId="Normal2">
    <w:name w:val="Normal2"/>
    <w:pPr>
      <w:suppressAutoHyphens/>
      <w:spacing w:after="160" w:line="252" w:lineRule="auto"/>
      <w:ind w:firstLine="1134"/>
      <w:jc w:val="both"/>
    </w:pPr>
    <w:rPr>
      <w:rFonts w:cs="Arial Unicode MS"/>
      <w:color w:val="000000"/>
      <w:u w:color="000000"/>
      <w:lang w:val="en-US"/>
    </w:rPr>
  </w:style>
  <w:style w:type="paragraph" w:customStyle="1" w:styleId="tootnote">
    <w:name w:val="tootnote"/>
    <w:pPr>
      <w:suppressAutoHyphens/>
    </w:pPr>
    <w:rPr>
      <w:rFonts w:eastAsia="Times New Roman"/>
      <w:color w:val="000000"/>
      <w:u w:color="000000"/>
      <w:lang w:val="en-US"/>
    </w:rPr>
  </w:style>
  <w:style w:type="paragraph" w:styleId="FootnoteText">
    <w:name w:val="footnote text"/>
    <w:pPr>
      <w:suppressAutoHyphens/>
    </w:pPr>
    <w:rPr>
      <w:rFonts w:eastAsia="Times New Roman"/>
      <w:color w:val="000000"/>
      <w:u w:color="000000"/>
      <w:lang w:val="en-US"/>
    </w:rPr>
  </w:style>
  <w:style w:type="character" w:customStyle="1" w:styleId="Link">
    <w:name w:val="Link"/>
    <w:rPr>
      <w:color w:val="0000FF"/>
      <w:u w:val="single" w:color="0000FF"/>
    </w:rPr>
  </w:style>
  <w:style w:type="character" w:customStyle="1" w:styleId="Hyperlink0">
    <w:name w:val="Hyperlink.0"/>
    <w:basedOn w:val="Link"/>
    <w:rPr>
      <w:color w:val="000000"/>
      <w:u w:val="single" w:color="000000"/>
    </w:rPr>
  </w:style>
  <w:style w:type="paragraph" w:customStyle="1" w:styleId="EndNoteBibliography">
    <w:name w:val="EndNote Bibliography"/>
    <w:pPr>
      <w:suppressAutoHyphens/>
    </w:pPr>
    <w:rPr>
      <w:rFonts w:eastAsia="Times New Roman"/>
      <w:color w:val="000000"/>
      <w:u w:color="000000"/>
      <w:lang w:val="en-US"/>
    </w:rPr>
  </w:style>
  <w:style w:type="paragraph" w:styleId="Quote">
    <w:name w:val="Quote"/>
    <w:pPr>
      <w:suppressAutoHyphens/>
      <w:ind w:left="720" w:firstLine="1134"/>
      <w:jc w:val="both"/>
    </w:pPr>
    <w:rPr>
      <w:rFonts w:cs="Arial Unicode MS"/>
      <w:i/>
      <w:iCs/>
      <w:color w:val="000000"/>
      <w:sz w:val="24"/>
      <w:szCs w:val="24"/>
      <w:u w:color="000000"/>
      <w:lang w:val="en-US"/>
    </w:rPr>
  </w:style>
  <w:style w:type="paragraph" w:customStyle="1" w:styleId="WW-Default1">
    <w:name w:val="WW-Default1"/>
    <w:pPr>
      <w:widowControl w:val="0"/>
      <w:suppressAutoHyphens/>
      <w:spacing w:after="160" w:line="252" w:lineRule="auto"/>
    </w:pPr>
    <w:rPr>
      <w:rFonts w:eastAsia="Times New Roman"/>
      <w:color w:val="000000"/>
      <w:u w:color="000000"/>
      <w:lang w:val="en-US"/>
    </w:rPr>
  </w:style>
  <w:style w:type="paragraph" w:customStyle="1" w:styleId="Blockquote">
    <w:name w:val="Blockquote"/>
    <w:pPr>
      <w:widowControl w:val="0"/>
      <w:spacing w:before="100" w:after="100" w:line="200" w:lineRule="atLeast"/>
      <w:ind w:left="720"/>
    </w:pPr>
    <w:rPr>
      <w:rFonts w:cs="Arial Unicode MS"/>
      <w:color w:val="000000"/>
      <w:sz w:val="24"/>
      <w:szCs w:val="24"/>
      <w:u w:color="000000"/>
      <w:lang w:val="en-US"/>
    </w:rPr>
  </w:style>
  <w:style w:type="character" w:customStyle="1" w:styleId="Hyperlink1">
    <w:name w:val="Hyperlink.1"/>
    <w:basedOn w:val="Link"/>
    <w:rPr>
      <w:color w:val="000000"/>
      <w:sz w:val="24"/>
      <w:szCs w:val="24"/>
      <w:u w:val="single" w:color="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hr-HR"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160" w:line="252" w:lineRule="auto"/>
    </w:pPr>
    <w:rPr>
      <w:rFonts w:eastAsia="Times New Roman"/>
      <w:color w:val="000000"/>
      <w:u w:color="000000"/>
      <w:lang w:val="en-US"/>
    </w:rPr>
  </w:style>
  <w:style w:type="paragraph" w:styleId="Heading2">
    <w:name w:val="heading 2"/>
    <w:pPr>
      <w:keepNext/>
      <w:suppressAutoHyphens/>
      <w:spacing w:before="240" w:after="120" w:line="360" w:lineRule="auto"/>
      <w:ind w:left="576" w:hanging="576"/>
      <w:outlineLvl w:val="1"/>
    </w:pPr>
    <w:rPr>
      <w:rFonts w:cs="Arial Unicode MS"/>
      <w:color w:val="000000"/>
      <w:u w:color="000000"/>
      <w:lang w:val="en-US"/>
    </w:rPr>
  </w:style>
  <w:style w:type="paragraph" w:styleId="Heading3">
    <w:name w:val="heading 3"/>
    <w:next w:val="Normal"/>
    <w:pPr>
      <w:keepNext/>
      <w:shd w:val="clear" w:color="auto" w:fill="FFFFFF"/>
      <w:tabs>
        <w:tab w:val="left" w:pos="360"/>
      </w:tabs>
      <w:suppressAutoHyphens/>
      <w:spacing w:line="480" w:lineRule="auto"/>
      <w:jc w:val="both"/>
      <w:outlineLvl w:val="2"/>
    </w:pPr>
    <w:rPr>
      <w:rFonts w:cs="Arial Unicode MS"/>
      <w:b/>
      <w:bCs/>
      <w:color w:val="000000"/>
      <w:spacing w:val="5"/>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BodyText">
    <w:name w:val="Body Text"/>
    <w:pPr>
      <w:suppressAutoHyphens/>
      <w:spacing w:after="120" w:line="252" w:lineRule="auto"/>
    </w:pPr>
    <w:rPr>
      <w:rFonts w:eastAsia="Times New Roman"/>
      <w:color w:val="000000"/>
      <w:u w:color="000000"/>
      <w:lang w:val="en-US"/>
    </w:rPr>
  </w:style>
  <w:style w:type="paragraph" w:customStyle="1" w:styleId="Quote2">
    <w:name w:val="Quote2"/>
    <w:pPr>
      <w:suppressAutoHyphens/>
      <w:ind w:left="720" w:firstLine="1134"/>
      <w:jc w:val="both"/>
    </w:pPr>
    <w:rPr>
      <w:rFonts w:cs="Arial Unicode MS"/>
      <w:i/>
      <w:iCs/>
      <w:color w:val="000000"/>
      <w:u w:color="000000"/>
      <w:lang w:val="en-US"/>
    </w:rPr>
  </w:style>
  <w:style w:type="paragraph" w:customStyle="1" w:styleId="Normal2">
    <w:name w:val="Normal2"/>
    <w:pPr>
      <w:suppressAutoHyphens/>
      <w:spacing w:after="160" w:line="252" w:lineRule="auto"/>
      <w:ind w:firstLine="1134"/>
      <w:jc w:val="both"/>
    </w:pPr>
    <w:rPr>
      <w:rFonts w:cs="Arial Unicode MS"/>
      <w:color w:val="000000"/>
      <w:u w:color="000000"/>
      <w:lang w:val="en-US"/>
    </w:rPr>
  </w:style>
  <w:style w:type="paragraph" w:customStyle="1" w:styleId="tootnote">
    <w:name w:val="tootnote"/>
    <w:pPr>
      <w:suppressAutoHyphens/>
    </w:pPr>
    <w:rPr>
      <w:rFonts w:eastAsia="Times New Roman"/>
      <w:color w:val="000000"/>
      <w:u w:color="000000"/>
      <w:lang w:val="en-US"/>
    </w:rPr>
  </w:style>
  <w:style w:type="paragraph" w:styleId="FootnoteText">
    <w:name w:val="footnote text"/>
    <w:pPr>
      <w:suppressAutoHyphens/>
    </w:pPr>
    <w:rPr>
      <w:rFonts w:eastAsia="Times New Roman"/>
      <w:color w:val="000000"/>
      <w:u w:color="000000"/>
      <w:lang w:val="en-US"/>
    </w:rPr>
  </w:style>
  <w:style w:type="character" w:customStyle="1" w:styleId="Link">
    <w:name w:val="Link"/>
    <w:rPr>
      <w:color w:val="0000FF"/>
      <w:u w:val="single" w:color="0000FF"/>
    </w:rPr>
  </w:style>
  <w:style w:type="character" w:customStyle="1" w:styleId="Hyperlink0">
    <w:name w:val="Hyperlink.0"/>
    <w:basedOn w:val="Link"/>
    <w:rPr>
      <w:color w:val="000000"/>
      <w:u w:val="single" w:color="000000"/>
    </w:rPr>
  </w:style>
  <w:style w:type="paragraph" w:customStyle="1" w:styleId="EndNoteBibliography">
    <w:name w:val="EndNote Bibliography"/>
    <w:pPr>
      <w:suppressAutoHyphens/>
    </w:pPr>
    <w:rPr>
      <w:rFonts w:eastAsia="Times New Roman"/>
      <w:color w:val="000000"/>
      <w:u w:color="000000"/>
      <w:lang w:val="en-US"/>
    </w:rPr>
  </w:style>
  <w:style w:type="paragraph" w:styleId="Quote">
    <w:name w:val="Quote"/>
    <w:pPr>
      <w:suppressAutoHyphens/>
      <w:ind w:left="720" w:firstLine="1134"/>
      <w:jc w:val="both"/>
    </w:pPr>
    <w:rPr>
      <w:rFonts w:cs="Arial Unicode MS"/>
      <w:i/>
      <w:iCs/>
      <w:color w:val="000000"/>
      <w:sz w:val="24"/>
      <w:szCs w:val="24"/>
      <w:u w:color="000000"/>
      <w:lang w:val="en-US"/>
    </w:rPr>
  </w:style>
  <w:style w:type="paragraph" w:customStyle="1" w:styleId="WW-Default1">
    <w:name w:val="WW-Default1"/>
    <w:pPr>
      <w:widowControl w:val="0"/>
      <w:suppressAutoHyphens/>
      <w:spacing w:after="160" w:line="252" w:lineRule="auto"/>
    </w:pPr>
    <w:rPr>
      <w:rFonts w:eastAsia="Times New Roman"/>
      <w:color w:val="000000"/>
      <w:u w:color="000000"/>
      <w:lang w:val="en-US"/>
    </w:rPr>
  </w:style>
  <w:style w:type="paragraph" w:customStyle="1" w:styleId="Blockquote">
    <w:name w:val="Blockquote"/>
    <w:pPr>
      <w:widowControl w:val="0"/>
      <w:spacing w:before="100" w:after="100" w:line="200" w:lineRule="atLeast"/>
      <w:ind w:left="720"/>
    </w:pPr>
    <w:rPr>
      <w:rFonts w:cs="Arial Unicode MS"/>
      <w:color w:val="000000"/>
      <w:sz w:val="24"/>
      <w:szCs w:val="24"/>
      <w:u w:color="000000"/>
      <w:lang w:val="en-US"/>
    </w:rPr>
  </w:style>
  <w:style w:type="character" w:customStyle="1" w:styleId="Hyperlink1">
    <w:name w:val="Hyperlink.1"/>
    <w:basedOn w:val="Link"/>
    <w:rPr>
      <w:color w:val="000000"/>
      <w:sz w:val="24"/>
      <w:szCs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amazon.com/s/ref=dp_byline_sr_book_2?ie=UTF8&amp;text=Dovid+Bergelson&amp;search-alias=books&amp;field-author=Dovid+Bergelson&amp;sort=relevancerank"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s://www.amazon.com/s/ref=dp_byline_sr_book_2?ie=UTF8&amp;text=Dovid+Bergelson&amp;search-alias=books&amp;field-author=Dovid+Bergelson&amp;sort=relevancerank"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1574</Words>
  <Characters>8976</Characters>
  <Application>Microsoft Macintosh Word</Application>
  <DocSecurity>0</DocSecurity>
  <Lines>74</Lines>
  <Paragraphs>21</Paragraphs>
  <ScaleCrop>false</ScaleCrop>
  <Company/>
  <LinksUpToDate>false</LinksUpToDate>
  <CharactersWithSpaces>10529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iMac</cp:lastModifiedBy>
  <cp:revision>2</cp:revision>
  <dcterms:created xsi:type="dcterms:W3CDTF">2017-07-12T13:23:00Z</dcterms:created>
  <dcterms:modified xsi:type="dcterms:W3CDTF">2017-07-12T13:23:00Z</dcterms:modified>
</cp:coreProperties>
</file>