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b/>
          <w:b/>
        </w:rPr>
      </w:pPr>
      <w:r>
        <w:rPr>
          <w:b/>
        </w:rPr>
        <w:t>Josip Zanki</w:t>
      </w:r>
    </w:p>
    <w:p>
      <w:pPr>
        <w:pStyle w:val="Normal"/>
        <w:spacing w:lineRule="auto" w:line="360"/>
        <w:jc w:val="both"/>
        <w:rPr>
          <w:b/>
          <w:b/>
        </w:rPr>
      </w:pPr>
      <w:r>
        <w:rPr>
          <w:b/>
        </w:rPr>
        <w:t>Tekst kao objekt: emocionalna stanja i crveni karton</w:t>
      </w:r>
    </w:p>
    <w:p>
      <w:pPr>
        <w:pStyle w:val="Normal"/>
        <w:spacing w:lineRule="auto" w:line="360"/>
        <w:jc w:val="both"/>
        <w:rPr/>
      </w:pPr>
      <w:r>
        <w:rPr/>
      </w:r>
    </w:p>
    <w:p>
      <w:pPr>
        <w:pStyle w:val="Normal"/>
        <w:spacing w:lineRule="auto" w:line="360"/>
        <w:jc w:val="both"/>
        <w:rPr/>
      </w:pPr>
      <w:r>
        <w:rPr/>
        <w:t xml:space="preserve">Zajednički izložbeni projekt Društvo likovnih umetnikov Ljubljana i Hrvatskog društva likovnih umjetnika pod nazivom </w:t>
      </w:r>
      <w:r>
        <w:rPr>
          <w:i/>
        </w:rPr>
        <w:t>Tekst kao objekt</w:t>
      </w:r>
      <w:r>
        <w:rPr/>
        <w:t xml:space="preserve"> polazi od odabranih djela iz jedne i druge umjetničke prakse koja ilustrira, dekonstruira, proširuje i transformira tekst u sliku i objekt. Odabrani radovi koriste različite suvremene umjetničke medije i prakse, od crteža, umjetničke knjige pa do istraživačkih postupaka. Tekst, ujedno i jezik, slovenski i hrvatski, reprezentira, konceptualizira, ali i stvara nova značenja. Po Borgesu, kako to navodi poslije iskustva Alepha</w:t>
      </w:r>
      <w:r>
        <w:rPr>
          <w:rFonts w:eastAsia="Arial" w:cs="Arial" w:ascii="Arial" w:hAnsi="Arial"/>
        </w:rPr>
        <w:t>,</w:t>
      </w:r>
      <w:r>
        <w:rPr>
          <w:rStyle w:val="FootnoteAnchor"/>
          <w:vertAlign w:val="superscript"/>
        </w:rPr>
        <w:footnoteReference w:id="2"/>
      </w:r>
      <w:r>
        <w:rPr/>
        <w:t xml:space="preserve"> jezik jest spisak simbola i da bi se njima baratalo, sugovornici moraju imati zajedničku prošlost (u smislu pripadnosti određenoj zajednici), čak i kad nešto opisujemo samo u taksativnom nizu. Unutar čvrste narativne strukture jezik otvara put za umjetničke eksperimente. Jezik nije samo zbir slova, značenja i ideja, niti je u suvremenoj umjetnosti korišten samo da bi se propitivala ideja reprezentacije. To se vidi na primjeru radova kao što su </w:t>
      </w:r>
      <w:r>
        <w:rPr>
          <w:i/>
        </w:rPr>
        <w:t>One and Three Chairs</w:t>
      </w:r>
      <w:r>
        <w:rPr/>
        <w:t xml:space="preserve"> Josepha Kosutha (1965.) gdje se propituje odnos između jezika (narativnog opisa predmeta), slike predmeta kao oblika reprezentacije i samog predmeta. Ili u radu </w:t>
      </w:r>
      <w:r>
        <w:rPr>
          <w:i/>
        </w:rPr>
        <w:t xml:space="preserve">We Don't Need Another Hero </w:t>
      </w:r>
      <w:r>
        <w:rPr/>
        <w:t xml:space="preserve">Barbare Kruger (1987.), u kojem se propituje odnos između slike, jezika kao reprezentacije i konceptualizacije rodnih stereotipa u slici. </w:t>
      </w:r>
    </w:p>
    <w:p>
      <w:pPr>
        <w:pStyle w:val="Normal"/>
        <w:spacing w:lineRule="auto" w:line="360"/>
        <w:ind w:firstLine="720"/>
        <w:jc w:val="both"/>
        <w:rPr/>
      </w:pPr>
      <w:r>
        <w:rPr/>
        <w:t xml:space="preserve">Umjetnici i umjetnice čiji je primarni medij književni tekst ne moraju taj tekst samo ilustrirati slikama već ga putem medija dokumentarne fikcije mogu pretvoriti u zbir predmeta i konstrukciju stvarnosti. Najbolji primjer takvog postupka je knjiga i istoimeni muzej turskog književnika Orhana Pamuka </w:t>
      </w:r>
      <w:r>
        <w:rPr>
          <w:i/>
        </w:rPr>
        <w:t>Muzej nevinosti</w:t>
      </w:r>
      <w:r>
        <w:rPr/>
        <w:t>.</w:t>
      </w:r>
      <w:r>
        <w:rPr>
          <w:rStyle w:val="FootnoteAnchor"/>
          <w:vertAlign w:val="superscript"/>
        </w:rPr>
        <w:footnoteReference w:id="3"/>
      </w:r>
      <w:r>
        <w:rPr>
          <w:rFonts w:eastAsia="Arial" w:cs="Arial" w:ascii="Arial" w:hAnsi="Arial"/>
        </w:rPr>
        <w:t xml:space="preserve"> </w:t>
      </w:r>
      <w:r>
        <w:rPr/>
        <w:t xml:space="preserve">Predmeti koje u romanu Kemal prikuplja kao sjećanje na Füsun, tako stvarajući muzej, i u stvarnom svijetu postaju elementi muzeja koji je osmislio sam pisac. Pamuk je tako dokinuo granicu između fikcije i faktografije, ali i jezika kao reprezentacije predmeta i stvarnog predmeta. Ovom izložbom nastojali smo preispitati neke od liminalnih granica teksta, jezika i objekta, nastavljajući postavljati pitanja koja su započeta još prije, od Borgesa do Pamuka i od Koshuta do Kruger. </w:t>
      </w:r>
    </w:p>
    <w:p>
      <w:pPr>
        <w:pStyle w:val="Normal"/>
        <w:spacing w:lineRule="auto" w:line="360"/>
        <w:ind w:firstLine="720"/>
        <w:jc w:val="both"/>
        <w:rPr/>
      </w:pPr>
      <w:r>
        <w:rPr>
          <w:i/>
        </w:rPr>
        <w:t>Tekst kao objekt</w:t>
      </w:r>
      <w:r>
        <w:rPr/>
        <w:t xml:space="preserve"> predstavlja međunarodnu uzvratnu suradnju koja uključuje izložbu slovenskih i hrvatskih umjetnika i umjetnica u galeriji Proširenih medija u Meštrovićevu paviljonu (Domu hrvatskih likovnih umjetnika) te uzvratnu izložbu u galeriji Društva likovnih umetnikov Ljubljana (u ožujku i travnju 2024. godine). Kustosica slovenske dionice izložbe Nadja Gnamuš odabrala je radove umjetnica Nine Čelhar, Tanje Lažetić i Aleksandre Saške Gruden te radove umjetnika Borisa Beje i Ištvana Išta Huzjana. Na hrvatskoj dionici izložbe sudjeluju radovi umjetnica Zorane Unković, Mije Maraković, Mihaele Rašice i Antonele Šurbek te umjetnika Željka Beljana po odabiru Josipa Zankija. Radovi umjetnica Mihaele Rašice i Mije Maraković polaze od korištenja formata klasične ukoričene knjige ali i reinterpretacije formata i namjene knjige. Mia Maraković predstavlja se serijom radova (</w:t>
      </w:r>
      <w:r>
        <w:rPr>
          <w:i/>
        </w:rPr>
        <w:t>Umjetničke knjige</w:t>
      </w:r>
      <w:r>
        <w:rPr/>
        <w:t xml:space="preserve">, 2015. – 2024.) u kojima transformira pronađene, poklonjene i kupljene knjige u određenu vrst autoetnografskog objekta. Maraković format knjige tretira kao skulpturu, od uveza, korica, teksture stranica do veličine knjižnog bloka; fetišizirajući materiju ispunja ju novim tekstom, dok se onaj stari, prikriveni nazire kao palimpsest. Mihaela Rašica u radu </w:t>
      </w:r>
      <w:r>
        <w:rPr>
          <w:i/>
        </w:rPr>
        <w:t>Strune i stihije</w:t>
      </w:r>
      <w:r>
        <w:rPr/>
        <w:t xml:space="preserve"> (grafičko-pjesnička mapa, 2019.) pokazuje izvrsnost u književnom i grafičkom mediju vješto meandrirajući između narativnih formi linoreza i poetskih zapisa. Umjetnica je oslobođena ideje ilustrativnosti zato što sama uprizoruje vlastiti tekst, odnosno materijalizira ga u sliku. Važno je napomenuti da je Mihaela Rašica prisutna i na hrvatskoj književnoj sceni pa joj je prošle godine objavljena i druga zbirka pjesama </w:t>
      </w:r>
      <w:r>
        <w:rPr>
          <w:i/>
        </w:rPr>
        <w:t>Grimiz, kristal i sol</w:t>
      </w:r>
      <w:r>
        <w:rPr/>
        <w:t>.</w:t>
      </w:r>
      <w:r>
        <w:rPr>
          <w:rStyle w:val="FootnoteAnchor"/>
          <w:vertAlign w:val="superscript"/>
        </w:rPr>
        <w:footnoteReference w:id="4"/>
      </w:r>
      <w:r>
        <w:rPr/>
        <w:t xml:space="preserve"> </w:t>
      </w:r>
    </w:p>
    <w:p>
      <w:pPr>
        <w:pStyle w:val="Normal"/>
        <w:spacing w:lineRule="auto" w:line="360"/>
        <w:ind w:firstLine="720"/>
        <w:jc w:val="both"/>
        <w:rPr/>
      </w:pPr>
      <w:r>
        <w:rPr/>
        <w:t xml:space="preserve">Radovi Antonele Šurbek i Željka Beljana polaze od pretvaranja teksta (kao postkonceptualnog dijela vlastitog umjetničkog jezika) u prostornu intervenciju, odnosno čistu sliku. Antonela Šurbek u svome radu </w:t>
      </w:r>
      <w:r>
        <w:rPr>
          <w:i/>
        </w:rPr>
        <w:t>Skice za leksikon</w:t>
      </w:r>
      <w:r>
        <w:rPr/>
        <w:t xml:space="preserve"> (prostorna instalacija, bakropisi, objekti, 2023.) izlaže tekstualne specifikacije objekata, bakropise (interpretaciju objekata) i stvarne objekte, naslanjajući se upravo na manifesni Koshutov rad </w:t>
      </w:r>
      <w:r>
        <w:rPr>
          <w:i/>
        </w:rPr>
        <w:t>One and Three Chairs</w:t>
      </w:r>
      <w:r>
        <w:rPr/>
        <w:t xml:space="preserve">. Tekstualna specifikacija je metapoetska ironija na inventarne popise, a podijeljena je po sekcijama:  </w:t>
      </w:r>
      <w:r>
        <w:rPr>
          <w:i/>
        </w:rPr>
        <w:t>Lokacija</w:t>
      </w:r>
      <w:r>
        <w:rPr/>
        <w:t xml:space="preserve">, </w:t>
      </w:r>
      <w:r>
        <w:rPr>
          <w:i/>
        </w:rPr>
        <w:t>Auditivni opis</w:t>
      </w:r>
      <w:r>
        <w:rPr/>
        <w:t xml:space="preserve">, </w:t>
      </w:r>
      <w:r>
        <w:rPr>
          <w:i/>
        </w:rPr>
        <w:t>Vrijeme</w:t>
      </w:r>
      <w:r>
        <w:rPr/>
        <w:t xml:space="preserve">, </w:t>
      </w:r>
      <w:r>
        <w:rPr>
          <w:i/>
        </w:rPr>
        <w:t>Gustatorni opis</w:t>
      </w:r>
      <w:r>
        <w:rPr/>
        <w:t xml:space="preserve">,  </w:t>
      </w:r>
      <w:r>
        <w:rPr>
          <w:i/>
        </w:rPr>
        <w:t>Emocionalno stanje</w:t>
      </w:r>
      <w:r>
        <w:rPr/>
        <w:t xml:space="preserve">, </w:t>
      </w:r>
      <w:r>
        <w:rPr>
          <w:i/>
        </w:rPr>
        <w:t>Olfaktorni opis</w:t>
      </w:r>
      <w:r>
        <w:rPr/>
        <w:t xml:space="preserve">, </w:t>
      </w:r>
      <w:r>
        <w:rPr>
          <w:i/>
        </w:rPr>
        <w:t>Fizičko stanje</w:t>
      </w:r>
      <w:r>
        <w:rPr/>
        <w:t xml:space="preserve">, </w:t>
      </w:r>
      <w:r>
        <w:rPr>
          <w:i/>
        </w:rPr>
        <w:t>Taktilni opis</w:t>
      </w:r>
      <w:r>
        <w:rPr/>
        <w:t xml:space="preserve">, </w:t>
      </w:r>
      <w:r>
        <w:rPr>
          <w:i/>
        </w:rPr>
        <w:t>Svrha</w:t>
      </w:r>
      <w:r>
        <w:rPr/>
        <w:t xml:space="preserve">. Predmeti su svakodnevni, od kikirikija i nožića do lego kockica, a njihovo bakropisno uprizorenje sublimat je svih okolnosti i stanja vezanih uz umjetnicu i dotični predmet.  Prostorna instalacija Željka Beljana </w:t>
      </w:r>
      <w:r>
        <w:rPr>
          <w:i/>
        </w:rPr>
        <w:t>ZIZOU</w:t>
      </w:r>
      <w:r>
        <w:rPr/>
        <w:t xml:space="preserve"> (2023. – 2024.) sastoji se od dva dijela, drvene skulpture oblikovane kao dječja igračka u obliku konjića za njihanje i </w:t>
      </w:r>
      <w:r>
        <w:rPr>
          <w:i/>
          <w:iCs/>
        </w:rPr>
        <w:t>bannera</w:t>
      </w:r>
      <w:r>
        <w:rPr/>
        <w:t xml:space="preserve">. Rad se nastavlja na aktualnu Beljanovu umjetničku praksu kreiranja ironičnih radova povezanih s fenomenom nogometne igre. Umjesto glave konjića na </w:t>
      </w:r>
      <w:r>
        <w:rPr>
          <w:i/>
        </w:rPr>
        <w:t>saonice</w:t>
      </w:r>
      <w:r>
        <w:rPr/>
        <w:t xml:space="preserve"> Beljan postavlja torzo francuskog nogometaša Zinédinea Zidanea, dok je </w:t>
      </w:r>
      <w:r>
        <w:rPr>
          <w:i/>
          <w:iCs/>
        </w:rPr>
        <w:t>banner</w:t>
      </w:r>
      <w:r>
        <w:rPr/>
        <w:t xml:space="preserve"> izrađen od ručnika s motivom talijanske nogometne reprezentacije i ušivenim rečenicama i povicima koje je francuski televizijski komentator Thierry Gilardi izgovorio tijekom prijenosa (umjetnik se referira na udarac glavom Zidanea talijanskog braniča Materazzija).</w:t>
      </w:r>
      <w:r>
        <w:rPr>
          <w:rStyle w:val="FootnoteAnchor"/>
          <w:vertAlign w:val="superscript"/>
        </w:rPr>
        <w:footnoteReference w:id="5"/>
      </w:r>
      <w:r>
        <w:rPr/>
        <w:t xml:space="preserve"> Za razliku od drugih umjetnica i umjetnika u hrvatskom dijelu izložbe, Zorana Unković  ostaje vjerna već poznatom odnosu slike i teksta. U svojim radovima </w:t>
      </w:r>
      <w:r>
        <w:rPr>
          <w:i/>
        </w:rPr>
        <w:t xml:space="preserve">Preplavljujuća bol </w:t>
      </w:r>
      <w:r>
        <w:rPr/>
        <w:t xml:space="preserve">(crtež, 2023.), </w:t>
      </w:r>
      <w:r>
        <w:rPr>
          <w:i/>
        </w:rPr>
        <w:t>Suočavanje sa samom sobom</w:t>
      </w:r>
      <w:r>
        <w:rPr/>
        <w:t xml:space="preserve"> (crtež, 2023.) i </w:t>
      </w:r>
      <w:r>
        <w:rPr>
          <w:i/>
        </w:rPr>
        <w:t>Uronjenost</w:t>
      </w:r>
      <w:r>
        <w:rPr/>
        <w:t xml:space="preserve"> (crtež, 2023.) Unković spaja crtački i tekstualni dio slike u jedinstvenu kompoziciju. Crtački ispisan tekst i crtež ilustriraju i romantiziraju umjetničina stanja i doživljaje. Narativnost i ilustrativnost je u radu Unković obostrana; tekst i crtež polaze od istog stanja, nadopunjuju se i zajedno pričaju i kristaliziraju, riječi i oporo crtovlje. Ono što ih povezuje jest trag umjetničine ruke ispisan ugljenom, crnim tušem i olovkom. </w:t>
      </w:r>
    </w:p>
    <w:p>
      <w:pPr>
        <w:pStyle w:val="Normal"/>
        <w:spacing w:lineRule="auto" w:line="360"/>
        <w:ind w:firstLine="720"/>
        <w:jc w:val="both"/>
        <w:rPr/>
      </w:pPr>
      <w:r>
        <w:rPr/>
        <w:t xml:space="preserve">Slovenski i hrvatski umjetnici i umjetnice otvaraju svojim radovima pitanja teksta i jezika poigravajući se prirodom jezika, sadržajem teksta, transformacijom teksta u sliku ili objekt te pismom i umijećem pisanja kao slikom teksta, ili </w:t>
      </w:r>
      <w:r>
        <w:rPr>
          <w:i/>
        </w:rPr>
        <w:t>ilustriraju</w:t>
      </w:r>
      <w:r>
        <w:rPr/>
        <w:t xml:space="preserve"> određeno književno djelo. Tako se otvara dijalog upravo u tekstu kao običnom nizu znakova, ali i u samom jeziku, najčešćem uzroku konflikta, bilo po njegovoj strukturi ili po mnoštvu značenja.</w:t>
      </w:r>
    </w:p>
    <w:p>
      <w:pPr>
        <w:pStyle w:val="Normal"/>
        <w:spacing w:lineRule="auto" w:line="360"/>
        <w:ind w:firstLine="720"/>
        <w:jc w:val="both"/>
        <w:rPr/>
      </w:pPr>
      <w:r>
        <w:rPr/>
      </w:r>
    </w:p>
    <w:p>
      <w:pPr>
        <w:pStyle w:val="Normal"/>
        <w:spacing w:lineRule="auto" w:line="360"/>
        <w:ind w:firstLine="720"/>
        <w:jc w:val="both"/>
        <w:rPr/>
      </w:pPr>
      <w:r>
        <w:rPr/>
      </w:r>
    </w:p>
    <w:p>
      <w:pPr>
        <w:pStyle w:val="Normal"/>
        <w:spacing w:lineRule="auto" w:line="360"/>
        <w:jc w:val="both"/>
        <w:rPr/>
      </w:pPr>
      <w:r>
        <w:rPr>
          <w:b/>
          <w:bCs/>
        </w:rPr>
        <w:t>Nadja Gnamuš</w:t>
      </w:r>
    </w:p>
    <w:p>
      <w:pPr>
        <w:pStyle w:val="Normal"/>
        <w:spacing w:lineRule="auto" w:line="360"/>
        <w:jc w:val="both"/>
        <w:rPr>
          <w:b/>
          <w:b/>
          <w:bCs/>
        </w:rPr>
      </w:pPr>
      <w:r>
        <w:rPr>
          <w:b/>
          <w:bCs/>
        </w:rPr>
        <w:t>Oblici tekstualnosti</w:t>
      </w:r>
    </w:p>
    <w:p>
      <w:pPr>
        <w:pStyle w:val="Normal"/>
        <w:spacing w:lineRule="auto" w:line="360"/>
        <w:jc w:val="both"/>
        <w:rPr>
          <w:b/>
          <w:b/>
          <w:bCs/>
        </w:rPr>
      </w:pPr>
      <w:r>
        <w:rPr>
          <w:b/>
          <w:bCs/>
        </w:rPr>
      </w:r>
    </w:p>
    <w:p>
      <w:pPr>
        <w:pStyle w:val="Normal"/>
        <w:spacing w:lineRule="auto" w:line="360"/>
        <w:jc w:val="both"/>
        <w:rPr/>
      </w:pPr>
      <w:r>
        <w:rPr/>
        <w:t xml:space="preserve">Koncept izložbe, obuhvaćen u ideji teksta kao objekta, vraća se dalekosežnom odnosu između dva povezana, ali, kada je riječ o učinku, različita komunikacijska sustava, jezika i slike. Foucault je taj odnos sažeo kao neodređen odnos u kojem se nijedan ne može izraziti s onim drugim, jer je nemoguće sažeti ono što vidimo, dok ono što vidimo ne leži u tome što kažemo. W. J. T. Mitchell primijetio je u Slikovnoj teoriji da jaz između jezika i slike uspostavlja reprezentaciju kao dijalektičko polje sila, a ne kao točno određenu poruku.1 Ako je u najnereprezentativnim i nenarativnim oblicima modernističke umjetnosti jezik formirao teorijski aparat koji je bio oruđe interpretacije i funkcionirao je prema modelu „što nam je manje dano vidjeti, to više imamo za reći o stvarima“2, konceptualne prakse postavile su riječi, stvari i slike u izravniji, ali ne i transparentniji i nedvosmisleniji odnos, u kojem bi diskurs kao takav mogao zamijeniti umjetnički objekt. </w:t>
      </w:r>
    </w:p>
    <w:p>
      <w:pPr>
        <w:pStyle w:val="Normal"/>
        <w:spacing w:lineRule="auto" w:line="360"/>
        <w:jc w:val="both"/>
        <w:rPr/>
      </w:pPr>
      <w:r>
        <w:rPr/>
        <w:t>Za radove na izložbi članova DLUL-a i HDLU-a ne postoji koherentna i zajednička konceptualna ili formalna odluka; njihova je dodirna točka prvenstveno odnos koji uspostavljaju s jezikom. Preklapanje vizualnog i verbalnog, reprezentacije i diskursa, sinteza slike i riječi, odvija se na različitim razinama i pobuđuje spektar relacijskih učinaka koji nastaju između vizualnog i verbalnog, a pritom nije riječ o ilustrativnosti i sinkronicitetu slike i teksta, već o njihovim međusobnim evokacijama prostora. Bez obzira na to podjarmljuje li tekst objekt ili objekt preuzima oblik teksta, izloženi radovi grade aluzivne, afektivne, poetske i mentalne prostore koji ne stvaraju kontemplativnu vizualnost, već od promatrača zahtijevaju aktivan proces razumijevanja i interpretacije. Tekstualnost ovdje može biti polazište, referenca ili diskurzivni okvir. Pritom jezik nije isključivo teorijski paravan pogleda i njegov prateći aparat, već se na umjetnost gleda kroz primjenu jezika i kao sintezu riječi, slika i materijalnosti.</w:t>
      </w:r>
    </w:p>
    <w:p>
      <w:pPr>
        <w:pStyle w:val="Normal"/>
        <w:spacing w:lineRule="auto" w:line="360"/>
        <w:jc w:val="both"/>
        <w:rPr/>
      </w:pPr>
      <w:r>
        <w:rPr/>
        <w:t xml:space="preserve">Odluka o izboru slovenskih umjetnika inspirirana je raspravama Zygmunta Baumana o dvosmislenom odnosu privatnog i javnog, individualnog i kolektivnog, posebice njegovom tezom o redefiniranju javnog prostora, koji više nije mjesto susreta, debata i pregovora između pojedinca i zajednice, već je umjesto toga preplavljen osobnim ispovijestima i naracijom o sebi. Dok je agora, kako je primijetio Bauman, u političkim sustavima imala ulogu prevođenja pojedinačnih stvari i problema u javnu raspravu, a s druge je strane transformirala javni interes u prava i dužnosti pojedinca, javni prostor sada „nije mnogo više od divovskog ekrana na koji se projiciraju privatne brige koje time ne prestaju biti privatne niti u toku vlastitog uveličavanja stječu nova kolektivna svojstva: javni prostor je ono mjesto gdje se javno priznaju privatne tajne i intimnosti“.3 Spletom osobnih priča i javnih pitanja bave se i umjetnički konteksti, gdje osobno i intimno ulazi u javnu sferu i obrnuto, i gdje su upravo individualni senzibiliteti i iskustva ono čime umjetnici pokušavaju ponovno uspostaviti kolektivni sadržaj i zajedničko značenje. </w:t>
      </w:r>
    </w:p>
    <w:p>
      <w:pPr>
        <w:pStyle w:val="Normal"/>
        <w:spacing w:lineRule="auto" w:line="360"/>
        <w:jc w:val="both"/>
        <w:rPr/>
      </w:pPr>
      <w:r>
        <w:rPr/>
        <w:t xml:space="preserve">Pitanje osobnog u društvenom diskursu važan je zajednički nazivnik koji povezuje inače različite umjetničke prakse. Subjekt je prije svega osviješten kao sučelje kroz koje se produciraju povijest, pamćenje i normativne strukture te se dovode u pitanje naizgled prividne samorazumljivosti, a interpretacije svakodnevice ovdje postaju sredstva za suptilne odraze društva i njegovih pukotina. Tekstualnost u obliku izjava, pisanja i pisma ili kao područje diskursa suoblikuje tu okolinu i kontekst pogleda. </w:t>
      </w:r>
    </w:p>
    <w:p>
      <w:pPr>
        <w:pStyle w:val="Normal"/>
        <w:spacing w:lineRule="auto" w:line="360"/>
        <w:jc w:val="both"/>
        <w:rPr/>
      </w:pPr>
      <w:r>
        <w:rPr/>
        <w:t>Slike Nine Čelhar inače nisu vizualno-verbalna djela. Tekst se povremeno pojavljuje na njezinim dnevnim skicama, odnosno vizualnim bilješkama, koje umjetnica upotrebljava za bilježenje i planiranje slika za svoje slikarske interijere. Čelhar je poznata kao slikarica modernističkih arhitektura, naslikanih u precizno konstruiranim slikarskim izrezima i izoliranim isječcima, kojima rekonstruira svoju slikarsku viziju, utemeljenu na jasnim plohama, minimalističkom crtežu, sofisticiranoj teksturi i lucidnim obojenim i svjetlosnim promjenama. Upravo slikaričina interpretacija tih ambijenata stvara napetost koja je izraz suvremenog životnog ozračja i njegovih proturječja – međupoloženost između osjetljive intimnosti i krhkosti s jedne strane te hladnih, ispražnjenih i otuđenih prostora s druge strane. Njezina djela više šute nego govore. Tekstualnost je ovdje implicitni dio slika iz svakodnevnog svijeta, nalazi se „između redaka“, između praznina i rezova koje je potrebno zamisliti i ispuniti smislom.</w:t>
      </w:r>
    </w:p>
    <w:p>
      <w:pPr>
        <w:pStyle w:val="Normal"/>
        <w:spacing w:lineRule="auto" w:line="360"/>
        <w:jc w:val="both"/>
        <w:rPr/>
      </w:pPr>
      <w:r>
        <w:rPr/>
        <w:t>Aleksandra Saška Gruden svoju umjetničku praksu gradi u sjecištu performansa, videa i prostornih instalacija, gdje je tekstualnost onaj konstitutivni element umjetničkog djela koji pokreće dijalog i proces interpretacije, bilo da se radi o javnom čitanju, zvučnom zapisu, performativnoj gesti pisanja ili kratkoj verbalnoj izjavi. U ovoj praksi jezik je usko povezan s tijelom i sredstvo je promišljanja, posebice o pitanjima identiteta i međuljudskih odnosa, koji proizlaze iz proturječja između privatnosti i njezine masovne percepcije, između individualnosti i jedinstvenosti te njezine projekcije na ekran javnog, često virtualnog prostora. Tako, primjerice, umjetničina performativna video instalacija Dođi k meni istražuje intimne intersubjektivne odnose do kojih dolazi između korisnika spoznajnih portala i gdje čak i razmjena najintimnijih emocija, osjećaja i želja može biti podložna komodifikaciji. U djelima Saške Gruden umjetnost i život prelaze i isprepliću literarnu poetiku s činjeničnom dokumentarnošću društvene zbilje.</w:t>
      </w:r>
    </w:p>
    <w:p>
      <w:pPr>
        <w:pStyle w:val="Normal"/>
        <w:spacing w:lineRule="auto" w:line="360"/>
        <w:jc w:val="both"/>
        <w:rPr/>
      </w:pPr>
      <w:r>
        <w:rPr/>
        <w:t xml:space="preserve">Tanja Lažetić jedna je od onih autorica koje na umjetnost ne gledaju iz idealističke perspektive, već o njoj uvijek promišljaju kroz iskustvo žene i umjetnice, a sa sviješću o iluziji umjetničke autonomije i njezinoj ovisnosti o produkcijskim uvjetima, novcu i kapitalu. U tom je kontekstu moguće interpretirati i instalaciju Billion Dinar Girl, koja je izrađena od uvećanih reprodukcija nekadašnje jugoslavenske novčanice od 100.000 dinara. Ova novčanica nije posebna samo po socrealističkoj slici djevojčice kao nade komunističke budućnosti, odnosno jednom od karakterističnih ikonografskih motiva na novcu komunističkih zemalja, koji je morao i vizualno odražavati društvo i politiku. Naime, riječ je o novčanici s najvećim apoenom, koji je bio posljedica globalne gospodarske krize i ubrzane inflacije iz po mnogočemu prijelomne 1989. godine – riječ je, dakle, o novcu koji je još samo pokazatelj apstraktne i prividne vrijednosti. Billion Dinar Girl nije samo postjugoslavenski odjek socijalističke utopije, već i njezina povratna petlja u sadašnjem gospodarskom sustavu i nametnutim neoliberalnim odnosima između novca, osobnih prilika i slobode. Jasno je da se potonje ne odnose samo na svakodnevne životne prakse, već i na emancipatorska područja umjetnosti i kulture. </w:t>
      </w:r>
    </w:p>
    <w:p>
      <w:pPr>
        <w:pStyle w:val="Normal"/>
        <w:spacing w:lineRule="auto" w:line="360"/>
        <w:jc w:val="both"/>
        <w:rPr/>
      </w:pPr>
      <w:r>
        <w:rPr/>
        <w:t xml:space="preserve">Boris Beja i Ištvan Išt Huzjan umjetnici su čiji projekti često proizlaze iz intimne povijesti i arhive osobnih priča. Individualnost je mjesto s kojeg se obrađuju učinci društvenih stanja, kodiranih predodžbi i ustaljenih praksi te mjesto s kojeg je moguće prenositi šira pitanja zajednice. Za Beju i Huzjana konceptualni okvir i kontekst koji definiraju projekt jednako su važni kao i estetski doživljaj i materijalna realizacija ideje. Zanima ih objekt kao proizvod i proces, izrađen s pažnjom prema specifičnim materijalima, obradi tekstura, boja, oblika i pozicioniranja u prostoru. Ovdje se materijalnost transponira u tekstualnost. </w:t>
      </w:r>
    </w:p>
    <w:p>
      <w:pPr>
        <w:pStyle w:val="Normal"/>
        <w:spacing w:lineRule="auto" w:line="360"/>
        <w:jc w:val="both"/>
        <w:rPr/>
      </w:pPr>
      <w:r>
        <w:rPr/>
        <w:t xml:space="preserve">Tako je, primjerice, u instalaciji Borisa Beje, ironično nazvanoj Plastik-Fantastik, nasljeđe OHO-ovih realističkih članaka parafrazirano u objekt-sliku, koja je reprezentativna za ekološki kolaps. Slika netaknute prirode na plastičnoj ambalaži (obuhvaćena u nacionalnom simbolu Triglava s Bledskim jezerom) paradigmatično sažima dvoličnost i paradoksalnost današnjeg društva. Beja se s dozom gorkog humora bavi ekološkom krizom te nas vizualnim razotkrivanjem iluzija podsjeća na kolaps antropocena, koji je, prema riječima ekološkog aktivista i filozofa Lievena De Cautera, možda jedina nada za spas biosfere. </w:t>
      </w:r>
    </w:p>
    <w:p>
      <w:pPr>
        <w:pStyle w:val="Normal"/>
        <w:spacing w:lineRule="auto" w:line="360"/>
        <w:jc w:val="both"/>
        <w:rPr/>
      </w:pPr>
      <w:r>
        <w:rPr/>
        <w:t xml:space="preserve">Pjesma među nama istraživački je projekt Ištvana Išta Huzjana, koji je nastajao tijekom više mjeseci i produkt je upornog arhiviranja pjesama iz pjesničkih zbirki, objavljenih tijekom pandemije uzrokovane Covidom-19. Odabrani zapisi na različitim jezicima, tipografijama i pismima poetski su dokumenti intimnih trenutaka, misli i osjećaja s kojima se svatko može poistovjetiti, bez obzira na to razumije li uopće njihov sadržaj i riječi. Pritom nije samo riječ o govornim objektima čiji su objekt riječi kao izraz bazičnih ljudskih emocija, već i o pikturalnim djelima koja se sastoje od niza znakova i estetski su poredana, čime im je Huzjan dodijelio osjetilnu posebnost i važnost. </w:t>
      </w:r>
    </w:p>
    <w:p>
      <w:pPr>
        <w:pStyle w:val="Normal"/>
        <w:spacing w:lineRule="auto" w:line="360"/>
        <w:jc w:val="both"/>
        <w:rPr/>
      </w:pPr>
      <w:r>
        <w:rPr/>
        <w:t>Među nama je pjesma koja otvara dijalog između zajednice i pojedinca te stvara univerzalnu poruku o nužnosti ljudske solidarnosti i bliskosti, koju dijelimo bez obzira na zemljopisne, kulturne i vremenske udaljenosti i prepreke među nama.</w:t>
      </w:r>
    </w:p>
    <w:p>
      <w:pPr>
        <w:pStyle w:val="Normal"/>
        <w:spacing w:lineRule="auto" w:line="360"/>
        <w:jc w:val="both"/>
        <w:rPr/>
      </w:pPr>
      <w:r>
        <w:rPr/>
        <w:t xml:space="preserve">Radovi na izložbi Tekst kao objekt nisu samo estetski objekti, već i dokumenti konteksta koje potonji impliciraju. Autori promatraju i istražuju društvene pojave kroz različite aspekte svakodnevnog života, koji se ogledaju u fragmentarnim, parcijalnim uvidima s kojima ulazimo u društveni prostor. Subjektivnost ovdje nije izražena u spontanim odgovorima ili vizualnim zapisima iz prvog lica okoline koja oblikuje umjetnike, već u konceptualnoj imploziji i analitičkoj dekonstrukciji našeg položaja u svijetu, kao i u kritičkim promišljanjima položaja umjetnice/umjetnika i njihovog (su)djelovanja u društvenom diskursu. Zbog toga su ova djela i materijalizirane emocije i objekti misli, čije se značenje gradi uvijek iznova. </w:t>
      </w:r>
    </w:p>
    <w:sectPr>
      <w:footnotePr>
        <w:numFmt w:val="decimal"/>
      </w:footnotePr>
      <w:type w:val="nextPage"/>
      <w:pgSz w:w="11906" w:h="16838"/>
      <w:pgMar w:left="1417" w:right="1417" w:gutter="0" w:header="0" w:top="1417" w:footer="0" w:bottom="141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Arial">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pBdr/>
        <w:rPr>
          <w:color w:val="000000"/>
          <w:sz w:val="22"/>
          <w:szCs w:val="22"/>
        </w:rPr>
      </w:pPr>
      <w:r>
        <w:rPr>
          <w:rStyle w:val="FootnoteCharacters"/>
        </w:rPr>
        <w:footnoteRef/>
      </w:r>
      <w:r>
        <w:rPr>
          <w:color w:val="000000"/>
          <w:sz w:val="22"/>
          <w:szCs w:val="22"/>
        </w:rPr>
        <w:t xml:space="preserve"> </w:t>
      </w:r>
      <w:r>
        <w:rPr>
          <w:color w:val="000000"/>
          <w:sz w:val="22"/>
          <w:szCs w:val="22"/>
        </w:rPr>
        <w:t>U kratkoj priči „Aleph“ Borges opisuje transcendentalno iskustvo koje se događa interakcijom s točkom u prostoru, Alephom.</w:t>
      </w:r>
    </w:p>
  </w:footnote>
  <w:footnote w:id="3">
    <w:p>
      <w:pPr>
        <w:pStyle w:val="Normal"/>
        <w:pBdr/>
        <w:rPr>
          <w:color w:val="000000"/>
          <w:sz w:val="22"/>
          <w:szCs w:val="22"/>
        </w:rPr>
      </w:pPr>
      <w:r>
        <w:rPr>
          <w:rStyle w:val="FootnoteCharacters"/>
        </w:rPr>
        <w:footnoteRef/>
      </w:r>
      <w:r>
        <w:rPr>
          <w:color w:val="000000"/>
          <w:sz w:val="22"/>
          <w:szCs w:val="22"/>
        </w:rPr>
        <w:t xml:space="preserve"> </w:t>
      </w:r>
      <w:r>
        <w:rPr>
          <w:color w:val="000000"/>
          <w:sz w:val="22"/>
          <w:szCs w:val="22"/>
        </w:rPr>
        <w:t>Roman je prvi puta objavljen 2008. godine.</w:t>
      </w:r>
    </w:p>
  </w:footnote>
  <w:footnote w:id="4">
    <w:p>
      <w:pPr>
        <w:pStyle w:val="Normal"/>
        <w:pBdr/>
        <w:rPr>
          <w:color w:val="000000"/>
          <w:sz w:val="20"/>
          <w:szCs w:val="20"/>
        </w:rPr>
      </w:pPr>
      <w:r>
        <w:rPr>
          <w:rStyle w:val="FootnoteCharacters"/>
        </w:rPr>
        <w:footnoteRef/>
      </w:r>
      <w:r>
        <w:rPr>
          <w:color w:val="000000"/>
          <w:sz w:val="20"/>
          <w:szCs w:val="20"/>
        </w:rPr>
        <w:t xml:space="preserve"> </w:t>
      </w:r>
      <w:r>
        <w:rPr>
          <w:color w:val="000000"/>
          <w:sz w:val="20"/>
          <w:szCs w:val="20"/>
        </w:rPr>
        <w:t>Izdanje Naklade Bošković, 2023.</w:t>
      </w:r>
    </w:p>
  </w:footnote>
  <w:footnote w:id="5">
    <w:p>
      <w:pPr>
        <w:pStyle w:val="Normal"/>
        <w:pBdr/>
        <w:rPr>
          <w:color w:val="000000"/>
          <w:sz w:val="20"/>
          <w:szCs w:val="20"/>
        </w:rPr>
      </w:pPr>
      <w:r>
        <w:rPr>
          <w:rStyle w:val="FootnoteCharacters"/>
        </w:rPr>
        <w:footnoteRef/>
      </w:r>
      <w:r>
        <w:rPr>
          <w:color w:val="000000"/>
          <w:sz w:val="20"/>
          <w:szCs w:val="20"/>
        </w:rPr>
        <w:t xml:space="preserve"> </w:t>
      </w:r>
      <w:r>
        <w:rPr>
          <w:color w:val="000000"/>
          <w:sz w:val="20"/>
          <w:szCs w:val="20"/>
        </w:rPr>
        <w:t xml:space="preserve">Zidane je za tu </w:t>
      </w:r>
      <w:r>
        <w:rPr>
          <w:i/>
          <w:color w:val="000000"/>
          <w:sz w:val="20"/>
          <w:szCs w:val="20"/>
        </w:rPr>
        <w:t>akciju</w:t>
      </w:r>
      <w:r>
        <w:rPr>
          <w:color w:val="000000"/>
          <w:sz w:val="20"/>
          <w:szCs w:val="20"/>
        </w:rPr>
        <w:t xml:space="preserve"> na Svjetskom nogometnom prvenstvu 2006. dobio crveni karton i isključenje iz igre. </w:t>
      </w:r>
    </w:p>
  </w:footnote>
</w:footnotes>
</file>

<file path=word/settings.xml><?xml version="1.0" encoding="utf-8"?>
<w:settings xmlns:w="http://schemas.openxmlformats.org/wordprocessingml/2006/main">
  <w:zoom w:percent="148"/>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hr-HR"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eastAsia="hr-HR" w:val="hr-HR" w:bidi="ar-SA"/>
    </w:rPr>
  </w:style>
  <w:style w:type="paragraph" w:styleId="Heading1">
    <w:name w:val="Heading 1"/>
    <w:basedOn w:val="Normal"/>
    <w:next w:val="Normal"/>
    <w:uiPriority w:val="9"/>
    <w:qFormat/>
    <w:pPr>
      <w:outlineLvl w:val="0"/>
    </w:pPr>
    <w:rPr/>
  </w:style>
  <w:style w:type="paragraph" w:styleId="Heading2">
    <w:name w:val="Heading 2"/>
    <w:basedOn w:val="Normal"/>
    <w:next w:val="Normal"/>
    <w:uiPriority w:val="9"/>
    <w:semiHidden/>
    <w:unhideWhenUsed/>
    <w:qFormat/>
    <w:pPr>
      <w:keepNext w:val="true"/>
      <w:spacing w:before="240" w:after="60"/>
      <w:outlineLvl w:val="1"/>
    </w:pPr>
    <w:rPr>
      <w:rFonts w:ascii="Cambria" w:hAnsi="Cambria" w:eastAsia="Cambria" w:cs="Cambria"/>
      <w:b/>
      <w:i/>
      <w:sz w:val="28"/>
      <w:szCs w:val="28"/>
    </w:rPr>
  </w:style>
  <w:style w:type="paragraph" w:styleId="Heading3">
    <w:name w:val="Heading 3"/>
    <w:basedOn w:val="Normal"/>
    <w:next w:val="Normal"/>
    <w:uiPriority w:val="9"/>
    <w:semiHidden/>
    <w:unhideWhenUsed/>
    <w:qFormat/>
    <w:pPr>
      <w:keepNext w:val="true"/>
      <w:spacing w:before="240" w:after="60"/>
      <w:outlineLvl w:val="2"/>
    </w:pPr>
    <w:rPr>
      <w:rFonts w:ascii="Cambria" w:hAnsi="Cambria" w:eastAsia="Cambria" w:cs="Cambria"/>
      <w:b/>
      <w:sz w:val="26"/>
      <w:szCs w:val="26"/>
    </w:rPr>
  </w:style>
  <w:style w:type="paragraph" w:styleId="Heading4">
    <w:name w:val="Heading 4"/>
    <w:basedOn w:val="Normal"/>
    <w:next w:val="Normal"/>
    <w:uiPriority w:val="9"/>
    <w:semiHidden/>
    <w:unhideWhenUsed/>
    <w:qFormat/>
    <w:pPr>
      <w:keepNext w:val="true"/>
      <w:spacing w:before="240" w:after="60"/>
      <w:outlineLvl w:val="3"/>
    </w:pPr>
    <w:rPr>
      <w:rFonts w:ascii="Calibri" w:hAnsi="Calibri" w:eastAsia="Calibri" w:cs="Calibri"/>
      <w:b/>
      <w:sz w:val="28"/>
      <w:szCs w:val="28"/>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FootnoteTextChar" w:customStyle="1">
    <w:name w:val="Footnote Text Char"/>
    <w:basedOn w:val="DefaultParagraphFont"/>
    <w:link w:val="Footnote"/>
    <w:uiPriority w:val="99"/>
    <w:semiHidden/>
    <w:qFormat/>
    <w:rsid w:val="00382c54"/>
    <w:rPr>
      <w:sz w:val="20"/>
      <w:szCs w:val="20"/>
    </w:rPr>
  </w:style>
  <w:style w:type="character" w:styleId="FootnoteCharacters" w:customStyle="1">
    <w:name w:val="Footnote Characters"/>
    <w:basedOn w:val="DefaultParagraphFont"/>
    <w:uiPriority w:val="99"/>
    <w:semiHidden/>
    <w:unhideWhenUsed/>
    <w:qFormat/>
    <w:rsid w:val="00382c54"/>
    <w:rPr>
      <w:vertAlign w:val="superscript"/>
    </w:rPr>
  </w:style>
  <w:style w:type="character" w:styleId="FootnoteAnchor" w:customStyle="1">
    <w:name w:val="Footnote Anchor"/>
    <w:rPr>
      <w:vertAlign w:val="superscript"/>
    </w:rPr>
  </w:style>
  <w:style w:type="character" w:styleId="EndnoteAnchor" w:customStyle="1">
    <w:name w:val="Endnote Anchor"/>
    <w:rPr>
      <w:vertAlign w:val="superscript"/>
    </w:rPr>
  </w:style>
  <w:style w:type="character" w:styleId="EndnoteCharacters" w:customStyle="1">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Caption1">
    <w:name w:val="caption"/>
    <w:basedOn w:val="Normal"/>
    <w:qFormat/>
    <w:pPr>
      <w:suppressLineNumbers/>
      <w:spacing w:before="120" w:after="120"/>
    </w:pPr>
    <w:rPr>
      <w:rFonts w:cs="Lohit Devanagari"/>
      <w:i/>
      <w:iCs/>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Footnote">
    <w:name w:val="Footnote Text"/>
    <w:basedOn w:val="Normal"/>
    <w:link w:val="FootnoteTextChar"/>
    <w:uiPriority w:val="99"/>
    <w:semiHidden/>
    <w:unhideWhenUsed/>
    <w:rsid w:val="00382c54"/>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NEt2w/Prab5yn21MzHGv5T7RQtw==">CgMxLjA4AHIhMXU2Qi01dWhsNUFNVG1kbWVEcDlQczFkUFY4Z3FXOEZC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LibreOffice/7.3.7.2$Linux_X86_64 LibreOffice_project/30$Build-2</Application>
  <AppVersion>15.0000</AppVersion>
  <Pages>6</Pages>
  <Words>2358</Words>
  <Characters>14400</Characters>
  <CharactersWithSpaces>16758</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2024-03-26T18:29:00Z</dcterms:created>
  <dc:creator>Zanki</dc:creator>
  <dc:description/>
  <dc:language>en-US</dc:language>
  <cp:lastModifiedBy/>
  <dcterms:modified xsi:type="dcterms:W3CDTF">2024-04-10T08:45:48Z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